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rFonts w:hint="eastAsia"/>
          <w:b/>
          <w:sz w:val="32"/>
          <w:szCs w:val="32"/>
        </w:rPr>
      </w:pPr>
      <w:r>
        <w:rPr>
          <w:rFonts w:hint="eastAsia"/>
          <w:b/>
          <w:sz w:val="32"/>
          <w:szCs w:val="32"/>
          <w:lang w:val="en-US" w:eastAsia="zh-CN"/>
        </w:rPr>
        <w:t>就诊卡询价采购</w:t>
      </w:r>
      <w:r>
        <w:rPr>
          <w:rFonts w:hint="eastAsia"/>
          <w:b/>
          <w:sz w:val="32"/>
          <w:szCs w:val="32"/>
        </w:rPr>
        <w:t>单</w:t>
      </w:r>
    </w:p>
    <w:p w14:paraId="3540CA6D">
      <w:pPr>
        <w:ind w:firstLine="700" w:firstLineChars="250"/>
        <w:rPr>
          <w:rFonts w:hint="eastAsia" w:ascii="宋体" w:hAnsi="宋体"/>
          <w:sz w:val="28"/>
          <w:szCs w:val="28"/>
        </w:rPr>
      </w:pPr>
      <w:r>
        <w:rPr>
          <w:rFonts w:hint="eastAsia" w:ascii="宋体" w:hAnsi="宋体"/>
          <w:sz w:val="28"/>
          <w:szCs w:val="28"/>
        </w:rPr>
        <w:t>公司名称（盖章）：</w:t>
      </w:r>
    </w:p>
    <w:tbl>
      <w:tblPr>
        <w:tblStyle w:val="29"/>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379"/>
        <w:gridCol w:w="1065"/>
        <w:gridCol w:w="1365"/>
        <w:gridCol w:w="1333"/>
        <w:gridCol w:w="1275"/>
        <w:gridCol w:w="1418"/>
        <w:gridCol w:w="1418"/>
        <w:gridCol w:w="2793"/>
      </w:tblGrid>
      <w:tr w14:paraId="74EA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6CEF8B83">
            <w:pPr>
              <w:jc w:val="center"/>
              <w:rPr>
                <w:rFonts w:hint="eastAsia" w:ascii="宋体" w:hAnsi="宋体"/>
                <w:sz w:val="24"/>
              </w:rPr>
            </w:pPr>
            <w:r>
              <w:rPr>
                <w:rFonts w:hint="eastAsia" w:ascii="宋体" w:hAnsi="宋体"/>
                <w:sz w:val="24"/>
              </w:rPr>
              <w:t>序号</w:t>
            </w:r>
          </w:p>
        </w:tc>
        <w:tc>
          <w:tcPr>
            <w:tcW w:w="2379" w:type="dxa"/>
            <w:vAlign w:val="center"/>
          </w:tcPr>
          <w:p w14:paraId="630A5E9F">
            <w:pPr>
              <w:jc w:val="center"/>
              <w:rPr>
                <w:rFonts w:hint="eastAsia" w:ascii="宋体" w:hAnsi="宋体"/>
                <w:sz w:val="24"/>
              </w:rPr>
            </w:pPr>
            <w:r>
              <w:rPr>
                <w:rFonts w:hint="eastAsia" w:ascii="宋体" w:hAnsi="宋体"/>
                <w:sz w:val="24"/>
              </w:rPr>
              <w:t>采购项目</w:t>
            </w:r>
          </w:p>
        </w:tc>
        <w:tc>
          <w:tcPr>
            <w:tcW w:w="1065" w:type="dxa"/>
            <w:vAlign w:val="center"/>
          </w:tcPr>
          <w:p w14:paraId="651E97D0">
            <w:pPr>
              <w:jc w:val="center"/>
              <w:rPr>
                <w:rFonts w:hint="eastAsia" w:ascii="宋体" w:hAnsi="宋体"/>
                <w:sz w:val="24"/>
              </w:rPr>
            </w:pPr>
            <w:r>
              <w:rPr>
                <w:rFonts w:hint="eastAsia" w:ascii="宋体" w:hAnsi="宋体"/>
                <w:sz w:val="24"/>
              </w:rPr>
              <w:t>单位</w:t>
            </w:r>
          </w:p>
        </w:tc>
        <w:tc>
          <w:tcPr>
            <w:tcW w:w="1365" w:type="dxa"/>
            <w:vAlign w:val="center"/>
          </w:tcPr>
          <w:p w14:paraId="2D155BBF">
            <w:pPr>
              <w:jc w:val="center"/>
              <w:rPr>
                <w:rFonts w:hint="eastAsia" w:ascii="宋体" w:hAnsi="宋体"/>
                <w:sz w:val="24"/>
              </w:rPr>
            </w:pPr>
            <w:r>
              <w:rPr>
                <w:rFonts w:hint="eastAsia" w:ascii="宋体" w:hAnsi="宋体"/>
                <w:sz w:val="24"/>
              </w:rPr>
              <w:t>数量</w:t>
            </w:r>
          </w:p>
        </w:tc>
        <w:tc>
          <w:tcPr>
            <w:tcW w:w="1333" w:type="dxa"/>
            <w:vAlign w:val="center"/>
          </w:tcPr>
          <w:p w14:paraId="0E55100E">
            <w:pPr>
              <w:jc w:val="center"/>
              <w:rPr>
                <w:rFonts w:hint="eastAsia" w:ascii="宋体" w:hAnsi="宋体"/>
                <w:sz w:val="24"/>
              </w:rPr>
            </w:pPr>
            <w:r>
              <w:rPr>
                <w:rFonts w:hint="eastAsia" w:ascii="宋体" w:hAnsi="宋体"/>
                <w:sz w:val="24"/>
              </w:rPr>
              <w:t>单价（元）</w:t>
            </w:r>
          </w:p>
        </w:tc>
        <w:tc>
          <w:tcPr>
            <w:tcW w:w="1275" w:type="dxa"/>
            <w:vAlign w:val="center"/>
          </w:tcPr>
          <w:p w14:paraId="5A89A06C">
            <w:pPr>
              <w:jc w:val="center"/>
              <w:rPr>
                <w:rFonts w:hint="eastAsia" w:ascii="宋体" w:hAnsi="宋体"/>
                <w:sz w:val="24"/>
              </w:rPr>
            </w:pPr>
            <w:r>
              <w:rPr>
                <w:rFonts w:hint="eastAsia" w:ascii="宋体" w:hAnsi="宋体"/>
                <w:sz w:val="24"/>
              </w:rPr>
              <w:t>总价（元）</w:t>
            </w:r>
          </w:p>
        </w:tc>
        <w:tc>
          <w:tcPr>
            <w:tcW w:w="1418" w:type="dxa"/>
            <w:vAlign w:val="center"/>
          </w:tcPr>
          <w:p w14:paraId="12C37848">
            <w:pPr>
              <w:jc w:val="center"/>
              <w:rPr>
                <w:rFonts w:hint="eastAsia" w:ascii="宋体" w:hAnsi="宋体"/>
                <w:sz w:val="24"/>
                <w:lang w:eastAsia="zh-CN"/>
              </w:rPr>
            </w:pPr>
            <w:r>
              <w:rPr>
                <w:rFonts w:hint="eastAsia" w:ascii="宋体" w:hAnsi="宋体"/>
                <w:sz w:val="24"/>
                <w:lang w:eastAsia="zh-CN"/>
              </w:rPr>
              <w:t>控制单价</w:t>
            </w:r>
          </w:p>
          <w:p w14:paraId="4DEEE523">
            <w:pPr>
              <w:jc w:val="center"/>
              <w:rPr>
                <w:rFonts w:hint="eastAsia" w:ascii="宋体" w:hAnsi="宋体"/>
                <w:sz w:val="24"/>
                <w:lang w:eastAsia="zh-CN"/>
              </w:rPr>
            </w:pPr>
            <w:r>
              <w:rPr>
                <w:rFonts w:hint="eastAsia" w:ascii="宋体" w:hAnsi="宋体"/>
                <w:sz w:val="24"/>
                <w:lang w:eastAsia="zh-CN"/>
              </w:rPr>
              <w:t>（元</w:t>
            </w:r>
            <w:r>
              <w:rPr>
                <w:rFonts w:hint="eastAsia" w:ascii="宋体" w:hAnsi="宋体"/>
                <w:sz w:val="24"/>
                <w:lang w:val="en-US" w:eastAsia="zh-CN"/>
              </w:rPr>
              <w:t>/张</w:t>
            </w:r>
            <w:r>
              <w:rPr>
                <w:rFonts w:hint="eastAsia" w:ascii="宋体" w:hAnsi="宋体"/>
                <w:sz w:val="24"/>
                <w:lang w:eastAsia="zh-CN"/>
              </w:rPr>
              <w:t>）</w:t>
            </w:r>
          </w:p>
        </w:tc>
        <w:tc>
          <w:tcPr>
            <w:tcW w:w="1418" w:type="dxa"/>
            <w:vAlign w:val="center"/>
          </w:tcPr>
          <w:p w14:paraId="38D1EC44">
            <w:pPr>
              <w:jc w:val="center"/>
              <w:rPr>
                <w:rFonts w:hint="eastAsia" w:ascii="宋体" w:hAnsi="宋体"/>
                <w:sz w:val="24"/>
              </w:rPr>
            </w:pPr>
            <w:r>
              <w:rPr>
                <w:rFonts w:hint="eastAsia" w:ascii="宋体" w:hAnsi="宋体"/>
                <w:sz w:val="24"/>
              </w:rPr>
              <w:t>控制价总（元）</w:t>
            </w:r>
          </w:p>
        </w:tc>
        <w:tc>
          <w:tcPr>
            <w:tcW w:w="2793" w:type="dxa"/>
            <w:vAlign w:val="center"/>
          </w:tcPr>
          <w:p w14:paraId="4D0CCE48">
            <w:pPr>
              <w:jc w:val="center"/>
              <w:rPr>
                <w:rFonts w:hint="eastAsia" w:ascii="宋体" w:hAnsi="宋体"/>
                <w:sz w:val="24"/>
              </w:rPr>
            </w:pPr>
            <w:r>
              <w:rPr>
                <w:rFonts w:hint="eastAsia" w:ascii="宋体" w:hAnsi="宋体"/>
                <w:sz w:val="24"/>
              </w:rPr>
              <w:t>采购内容及要求</w:t>
            </w:r>
          </w:p>
        </w:tc>
      </w:tr>
      <w:tr w14:paraId="7B21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4514E4E3">
            <w:pPr>
              <w:jc w:val="center"/>
              <w:rPr>
                <w:rFonts w:hint="eastAsia" w:ascii="宋体" w:hAnsi="宋体"/>
                <w:sz w:val="24"/>
              </w:rPr>
            </w:pPr>
            <w:r>
              <w:rPr>
                <w:rFonts w:hint="eastAsia" w:ascii="宋体" w:hAnsi="宋体"/>
                <w:sz w:val="24"/>
              </w:rPr>
              <w:t>1</w:t>
            </w:r>
          </w:p>
        </w:tc>
        <w:tc>
          <w:tcPr>
            <w:tcW w:w="2379" w:type="dxa"/>
            <w:shd w:val="clear" w:color="FFFF00" w:fill="auto"/>
            <w:vAlign w:val="center"/>
          </w:tcPr>
          <w:p w14:paraId="5E0EF74A">
            <w:pPr>
              <w:jc w:val="center"/>
              <w:rPr>
                <w:rFonts w:hint="eastAsia" w:ascii="宋体" w:hAnsi="宋体" w:eastAsiaTheme="minorEastAsia"/>
                <w:sz w:val="24"/>
                <w:lang w:eastAsia="zh-CN"/>
              </w:rPr>
            </w:pPr>
            <w:r>
              <w:rPr>
                <w:rFonts w:hint="eastAsia" w:ascii="宋体" w:hAnsi="宋体"/>
                <w:sz w:val="24"/>
                <w:lang w:eastAsia="zh-CN"/>
              </w:rPr>
              <w:t>就诊卡</w:t>
            </w:r>
          </w:p>
        </w:tc>
        <w:tc>
          <w:tcPr>
            <w:tcW w:w="1065" w:type="dxa"/>
            <w:shd w:val="clear" w:color="FFFF00" w:fill="auto"/>
            <w:vAlign w:val="center"/>
          </w:tcPr>
          <w:p w14:paraId="7FBD926E">
            <w:pPr>
              <w:jc w:val="center"/>
              <w:rPr>
                <w:rFonts w:hint="eastAsia" w:ascii="宋体" w:hAnsi="宋体" w:eastAsiaTheme="minorEastAsia"/>
                <w:sz w:val="24"/>
                <w:lang w:eastAsia="zh-CN"/>
              </w:rPr>
            </w:pPr>
            <w:r>
              <w:rPr>
                <w:rFonts w:hint="eastAsia" w:ascii="宋体" w:hAnsi="宋体"/>
                <w:sz w:val="24"/>
                <w:lang w:eastAsia="zh-CN"/>
              </w:rPr>
              <w:t>张</w:t>
            </w:r>
          </w:p>
        </w:tc>
        <w:tc>
          <w:tcPr>
            <w:tcW w:w="1365" w:type="dxa"/>
            <w:shd w:val="clear" w:color="FFFF00" w:fill="auto"/>
            <w:vAlign w:val="center"/>
          </w:tcPr>
          <w:p w14:paraId="02A178B0">
            <w:pPr>
              <w:jc w:val="center"/>
              <w:rPr>
                <w:rFonts w:hint="default" w:ascii="宋体" w:hAnsi="宋体" w:eastAsiaTheme="minorEastAsia"/>
                <w:sz w:val="24"/>
                <w:lang w:val="en-US" w:eastAsia="zh-CN"/>
              </w:rPr>
            </w:pPr>
            <w:r>
              <w:rPr>
                <w:rFonts w:hint="eastAsia" w:ascii="宋体" w:hAnsi="宋体"/>
                <w:sz w:val="24"/>
                <w:lang w:val="en-US" w:eastAsia="zh-CN"/>
              </w:rPr>
              <w:t>10000</w:t>
            </w:r>
          </w:p>
        </w:tc>
        <w:tc>
          <w:tcPr>
            <w:tcW w:w="1333" w:type="dxa"/>
            <w:shd w:val="clear" w:color="FFFF00" w:fill="auto"/>
          </w:tcPr>
          <w:p w14:paraId="6901E1FE">
            <w:pPr>
              <w:jc w:val="center"/>
              <w:rPr>
                <w:rFonts w:hint="eastAsia" w:cs="宋体" w:asciiTheme="minorEastAsia" w:hAnsiTheme="minorEastAsia"/>
                <w:sz w:val="24"/>
              </w:rPr>
            </w:pPr>
          </w:p>
        </w:tc>
        <w:tc>
          <w:tcPr>
            <w:tcW w:w="1275" w:type="dxa"/>
            <w:shd w:val="clear" w:color="FFFF00" w:fill="auto"/>
          </w:tcPr>
          <w:p w14:paraId="64152282">
            <w:pPr>
              <w:jc w:val="center"/>
              <w:rPr>
                <w:rFonts w:hint="eastAsia" w:cs="宋体" w:asciiTheme="minorEastAsia" w:hAnsiTheme="minorEastAsia"/>
                <w:sz w:val="24"/>
              </w:rPr>
            </w:pPr>
          </w:p>
        </w:tc>
        <w:tc>
          <w:tcPr>
            <w:tcW w:w="1418" w:type="dxa"/>
            <w:vAlign w:val="center"/>
          </w:tcPr>
          <w:p w14:paraId="22A8EA78">
            <w:pPr>
              <w:jc w:val="center"/>
              <w:rPr>
                <w:rFonts w:hint="default" w:ascii="宋体" w:hAnsi="宋体"/>
                <w:sz w:val="24"/>
                <w:lang w:val="en-US" w:eastAsia="zh-CN"/>
              </w:rPr>
            </w:pPr>
            <w:r>
              <w:rPr>
                <w:rFonts w:hint="eastAsia" w:ascii="宋体" w:hAnsi="宋体"/>
                <w:sz w:val="24"/>
                <w:lang w:val="en-US" w:eastAsia="zh-CN"/>
              </w:rPr>
              <w:t>3</w:t>
            </w:r>
          </w:p>
        </w:tc>
        <w:tc>
          <w:tcPr>
            <w:tcW w:w="1418" w:type="dxa"/>
            <w:vAlign w:val="center"/>
          </w:tcPr>
          <w:p w14:paraId="1C96F54D">
            <w:pPr>
              <w:jc w:val="center"/>
              <w:rPr>
                <w:rFonts w:hint="default" w:ascii="宋体" w:hAnsi="宋体" w:eastAsiaTheme="minorEastAsia"/>
                <w:sz w:val="24"/>
                <w:lang w:val="en-US" w:eastAsia="zh-CN"/>
              </w:rPr>
            </w:pPr>
            <w:r>
              <w:rPr>
                <w:rFonts w:hint="eastAsia" w:ascii="宋体" w:hAnsi="宋体"/>
                <w:sz w:val="24"/>
                <w:lang w:val="en-US" w:eastAsia="zh-CN"/>
              </w:rPr>
              <w:t>30000</w:t>
            </w:r>
          </w:p>
        </w:tc>
        <w:tc>
          <w:tcPr>
            <w:tcW w:w="2793" w:type="dxa"/>
            <w:vAlign w:val="center"/>
          </w:tcPr>
          <w:p w14:paraId="6802CADD">
            <w:pPr>
              <w:jc w:val="center"/>
              <w:rPr>
                <w:rFonts w:hint="eastAsia" w:ascii="宋体" w:hAnsi="宋体"/>
                <w:sz w:val="24"/>
              </w:rPr>
            </w:pPr>
            <w:r>
              <w:rPr>
                <w:rFonts w:hint="eastAsia" w:ascii="宋体" w:hAnsi="宋体"/>
                <w:sz w:val="24"/>
              </w:rPr>
              <w:t>详见附件一</w:t>
            </w:r>
          </w:p>
        </w:tc>
      </w:tr>
    </w:tbl>
    <w:p w14:paraId="6C92A3CD">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询价报名时间为202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8</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拟参与询价公司要提供详细的报价方案。</w:t>
      </w:r>
    </w:p>
    <w:p w14:paraId="111CC312">
      <w:pPr>
        <w:spacing w:line="380" w:lineRule="exact"/>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277E3E23">
      <w:pPr>
        <w:spacing w:line="380" w:lineRule="exact"/>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w:t>
      </w:r>
      <w:r>
        <w:rPr>
          <w:rFonts w:hint="eastAsia" w:ascii="宋体" w:hAnsi="宋体"/>
          <w:b/>
          <w:bCs/>
          <w:sz w:val="24"/>
          <w:u w:val="single"/>
          <w:lang w:eastAsia="zh-CN"/>
        </w:rPr>
        <w:t>有</w:t>
      </w:r>
      <w:r>
        <w:rPr>
          <w:rFonts w:hint="eastAsia" w:ascii="宋体" w:hAnsi="宋体"/>
          <w:b/>
          <w:bCs/>
          <w:sz w:val="24"/>
          <w:u w:val="single"/>
        </w:rPr>
        <w:t>效期内营业执照复印件（三证合一）</w:t>
      </w:r>
      <w:r>
        <w:rPr>
          <w:rFonts w:hint="eastAsia" w:ascii="宋体" w:hAnsi="宋体"/>
          <w:b/>
          <w:bCs/>
          <w:sz w:val="24"/>
          <w:u w:val="single"/>
          <w:lang w:eastAsia="zh-CN"/>
        </w:rPr>
        <w:t>；</w:t>
      </w:r>
      <w:r>
        <w:rPr>
          <w:rFonts w:hint="eastAsia" w:ascii="宋体" w:hAnsi="宋体"/>
          <w:b/>
          <w:bCs/>
          <w:sz w:val="24"/>
          <w:u w:val="single"/>
        </w:rPr>
        <w:t>以上材料均需加盖公章。</w:t>
      </w:r>
    </w:p>
    <w:p w14:paraId="107D44F4">
      <w:pPr>
        <w:spacing w:line="380" w:lineRule="exact"/>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w:t>
            </w:r>
          </w:p>
        </w:tc>
        <w:tc>
          <w:tcPr>
            <w:tcW w:w="2543" w:type="pct"/>
            <w:vAlign w:val="top"/>
          </w:tcPr>
          <w:p w14:paraId="04708755">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技术参数：</w:t>
            </w:r>
          </w:p>
          <w:p w14:paraId="3C343009">
            <w:pPr>
              <w:jc w:val="left"/>
              <w:rPr>
                <w:rFonts w:hint="eastAsia" w:asciiTheme="minorEastAsia" w:hAnsiTheme="minorEastAsia"/>
              </w:rPr>
            </w:pPr>
            <w:r>
              <w:rPr>
                <w:rFonts w:hint="eastAsia" w:asciiTheme="minorEastAsia" w:hAnsiTheme="minorEastAsia"/>
              </w:rPr>
              <w:t>（1）容量：</w:t>
            </w:r>
            <w:bookmarkStart w:id="0" w:name="OLE_LINK4"/>
            <w:r>
              <w:rPr>
                <w:rFonts w:hint="eastAsia" w:asciiTheme="minorEastAsia" w:hAnsiTheme="minorEastAsia"/>
              </w:rPr>
              <w:t>≥</w:t>
            </w:r>
            <w:bookmarkEnd w:id="0"/>
            <w:bookmarkStart w:id="1" w:name="_Hlk198890810"/>
            <w:r>
              <w:rPr>
                <w:rFonts w:hint="eastAsia" w:asciiTheme="minorEastAsia" w:hAnsiTheme="minorEastAsia"/>
              </w:rPr>
              <w:t>256*8位</w:t>
            </w:r>
            <w:bookmarkEnd w:id="1"/>
            <w:r>
              <w:rPr>
                <w:rFonts w:hint="eastAsia" w:asciiTheme="minorEastAsia" w:hAnsiTheme="minorEastAsia"/>
              </w:rPr>
              <w:t xml:space="preserve"> EEPROM。；</w:t>
            </w:r>
          </w:p>
          <w:p w14:paraId="3923AD73">
            <w:pPr>
              <w:jc w:val="left"/>
              <w:rPr>
                <w:rFonts w:hint="eastAsia" w:asciiTheme="minorEastAsia" w:hAnsiTheme="minorEastAsia"/>
              </w:rPr>
            </w:pPr>
            <w:r>
              <w:rPr>
                <w:rFonts w:hint="eastAsia" w:asciiTheme="minorEastAsia" w:hAnsiTheme="minorEastAsia"/>
              </w:rPr>
              <w:t>（2）支持符合ISO7816-3标准的T=0、T=1通讯协议；</w:t>
            </w:r>
          </w:p>
          <w:p w14:paraId="28C1E900">
            <w:pPr>
              <w:jc w:val="left"/>
              <w:rPr>
                <w:rFonts w:hint="eastAsia" w:asciiTheme="minorEastAsia" w:hAnsiTheme="minorEastAsia"/>
              </w:rPr>
            </w:pPr>
            <w:r>
              <w:rPr>
                <w:rFonts w:hint="eastAsia" w:asciiTheme="minorEastAsia" w:hAnsiTheme="minorEastAsia"/>
              </w:rPr>
              <w:t>（3）具有复合RF功能，工作频率: 13.56MHZ；</w:t>
            </w:r>
          </w:p>
          <w:p w14:paraId="32145EC5">
            <w:pPr>
              <w:jc w:val="left"/>
              <w:rPr>
                <w:rFonts w:hint="eastAsia" w:asciiTheme="minorEastAsia" w:hAnsiTheme="minorEastAsia"/>
              </w:rPr>
            </w:pPr>
            <w:r>
              <w:rPr>
                <w:rFonts w:hint="eastAsia" w:asciiTheme="minorEastAsia" w:hAnsiTheme="minorEastAsia"/>
              </w:rPr>
              <w:t>（4）通讯速度: 106Kboud</w:t>
            </w:r>
          </w:p>
          <w:p w14:paraId="52848721">
            <w:pPr>
              <w:jc w:val="left"/>
              <w:rPr>
                <w:rFonts w:hint="eastAsia" w:asciiTheme="minorEastAsia" w:hAnsiTheme="minorEastAsia"/>
              </w:rPr>
            </w:pPr>
            <w:r>
              <w:rPr>
                <w:rFonts w:hint="eastAsia" w:asciiTheme="minorEastAsia" w:hAnsiTheme="minorEastAsia"/>
              </w:rPr>
              <w:t>（5）读写时间: 1-2MS</w:t>
            </w:r>
          </w:p>
          <w:p w14:paraId="4140D57B">
            <w:pPr>
              <w:jc w:val="left"/>
              <w:rPr>
                <w:rFonts w:hint="eastAsia" w:asciiTheme="minorEastAsia" w:hAnsiTheme="minorEastAsia"/>
              </w:rPr>
            </w:pPr>
            <w:r>
              <w:rPr>
                <w:rFonts w:hint="eastAsia" w:asciiTheme="minorEastAsia" w:hAnsiTheme="minorEastAsia"/>
              </w:rPr>
              <w:t>（6）工作温度: -20℃-85℃，温度： -10℃and+50℃</w:t>
            </w:r>
          </w:p>
          <w:p w14:paraId="6F4A9703">
            <w:pPr>
              <w:jc w:val="left"/>
              <w:rPr>
                <w:rFonts w:hint="eastAsia" w:asciiTheme="minorEastAsia" w:hAnsiTheme="minorEastAsia"/>
              </w:rPr>
            </w:pPr>
            <w:r>
              <w:rPr>
                <w:rFonts w:hint="eastAsia" w:asciiTheme="minorEastAsia" w:hAnsiTheme="minorEastAsia"/>
              </w:rPr>
              <w:t>（7）擦写次数:＞100000次</w:t>
            </w:r>
          </w:p>
          <w:p w14:paraId="1B904B4C">
            <w:pPr>
              <w:jc w:val="left"/>
              <w:rPr>
                <w:rFonts w:hint="eastAsia" w:asciiTheme="minorEastAsia" w:hAnsiTheme="minorEastAsia"/>
              </w:rPr>
            </w:pPr>
            <w:r>
              <w:rPr>
                <w:rFonts w:hint="eastAsia" w:asciiTheme="minorEastAsia" w:hAnsiTheme="minorEastAsia"/>
              </w:rPr>
              <w:t>（8）数据保存:＞10年</w:t>
            </w:r>
          </w:p>
          <w:p w14:paraId="09A56A2B">
            <w:pPr>
              <w:jc w:val="left"/>
              <w:rPr>
                <w:rFonts w:hint="eastAsia" w:asciiTheme="minorEastAsia" w:hAnsiTheme="minorEastAsia"/>
              </w:rPr>
            </w:pPr>
            <w:r>
              <w:rPr>
                <w:rFonts w:hint="eastAsia" w:asciiTheme="minorEastAsia" w:hAnsiTheme="minorEastAsia"/>
              </w:rPr>
              <w:t>（9）制作标准: ISO 14443,ISO 10536</w:t>
            </w:r>
          </w:p>
          <w:p w14:paraId="29E6B902">
            <w:pPr>
              <w:jc w:val="left"/>
              <w:rPr>
                <w:rFonts w:hint="eastAsia" w:asciiTheme="minorEastAsia" w:hAnsiTheme="minorEastAsia"/>
              </w:rPr>
            </w:pPr>
            <w:r>
              <w:rPr>
                <w:rFonts w:hint="eastAsia" w:asciiTheme="minorEastAsia" w:hAnsiTheme="minorEastAsia"/>
              </w:rPr>
              <w:t>（10）封装材料: PVC、PET</w:t>
            </w:r>
          </w:p>
          <w:p w14:paraId="13543CD9">
            <w:pPr>
              <w:jc w:val="left"/>
              <w:rPr>
                <w:rFonts w:hint="eastAsia" w:asciiTheme="minorEastAsia" w:hAnsiTheme="minorEastAsia"/>
              </w:rPr>
            </w:pPr>
            <w:r>
              <w:rPr>
                <w:rFonts w:hint="eastAsia" w:asciiTheme="minorEastAsia" w:hAnsiTheme="minorEastAsia"/>
              </w:rPr>
              <w:t>（11）32位保护存储器；</w:t>
            </w:r>
          </w:p>
          <w:p w14:paraId="21AF1060">
            <w:pPr>
              <w:jc w:val="left"/>
              <w:rPr>
                <w:rFonts w:hint="eastAsia" w:asciiTheme="minorEastAsia" w:hAnsiTheme="minorEastAsia"/>
              </w:rPr>
            </w:pPr>
            <w:r>
              <w:rPr>
                <w:rFonts w:hint="eastAsia" w:asciiTheme="minorEastAsia" w:hAnsiTheme="minorEastAsia"/>
              </w:rPr>
              <w:t>（12）密码：3字节密码，密码错误计数器：3次；</w:t>
            </w:r>
          </w:p>
          <w:p w14:paraId="5413E78C">
            <w:pPr>
              <w:jc w:val="left"/>
              <w:rPr>
                <w:rFonts w:hint="eastAsia" w:asciiTheme="minorEastAsia" w:hAnsiTheme="minorEastAsia"/>
              </w:rPr>
            </w:pPr>
            <w:r>
              <w:rPr>
                <w:rFonts w:hint="eastAsia" w:asciiTheme="minorEastAsia" w:hAnsiTheme="minorEastAsia"/>
              </w:rPr>
              <w:t>（13）具有读写操作功能，支持字节直接寻址，低地址32字节数据设不可恢复的写保护位，32位保护位，写数据操作结束标志，符合7816-3标准的复位响应。</w:t>
            </w:r>
          </w:p>
          <w:p w14:paraId="3C4C6493">
            <w:pPr>
              <w:jc w:val="left"/>
              <w:rPr>
                <w:rFonts w:hint="eastAsia" w:asciiTheme="minorEastAsia" w:hAnsiTheme="minorEastAsia"/>
              </w:rPr>
            </w:pPr>
            <w:r>
              <w:rPr>
                <w:rFonts w:hint="eastAsia" w:asciiTheme="minorEastAsia" w:hAnsiTheme="minorEastAsia"/>
              </w:rPr>
              <w:t>1</w:t>
            </w:r>
            <w:r>
              <w:rPr>
                <w:rFonts w:hint="eastAsia" w:asciiTheme="minorEastAsia" w:hAnsiTheme="minorEastAsia"/>
                <w:lang w:eastAsia="zh-CN"/>
              </w:rPr>
              <w:t>.</w:t>
            </w:r>
            <w:r>
              <w:rPr>
                <w:rFonts w:hint="eastAsia" w:asciiTheme="minorEastAsia" w:hAnsiTheme="minorEastAsia"/>
              </w:rPr>
              <w:t>密码核对正确前，全部数据只可读，不可改写；</w:t>
            </w:r>
          </w:p>
          <w:p w14:paraId="59BB3FCE">
            <w:pPr>
              <w:jc w:val="left"/>
              <w:rPr>
                <w:rFonts w:hint="eastAsia" w:asciiTheme="minorEastAsia" w:hAnsiTheme="minorEastAsia"/>
              </w:rPr>
            </w:pPr>
            <w:r>
              <w:rPr>
                <w:rFonts w:hint="eastAsia" w:asciiTheme="minorEastAsia" w:hAnsiTheme="minorEastAsia"/>
              </w:rPr>
              <w:t>2</w:t>
            </w:r>
            <w:r>
              <w:rPr>
                <w:rFonts w:hint="eastAsia" w:asciiTheme="minorEastAsia" w:hAnsiTheme="minorEastAsia"/>
                <w:lang w:eastAsia="zh-CN"/>
              </w:rPr>
              <w:t>.</w:t>
            </w:r>
            <w:r>
              <w:rPr>
                <w:rFonts w:hint="eastAsia" w:asciiTheme="minorEastAsia" w:hAnsiTheme="minorEastAsia"/>
              </w:rPr>
              <w:t>核对密码正确后可以更改数据，包括密码</w:t>
            </w:r>
            <w:r>
              <w:rPr>
                <w:rFonts w:hint="eastAsia" w:asciiTheme="minorEastAsia" w:hAnsiTheme="minorEastAsia"/>
                <w:lang w:eastAsia="zh-CN"/>
              </w:rPr>
              <w:t>在</w:t>
            </w:r>
            <w:r>
              <w:rPr>
                <w:rFonts w:hint="eastAsia" w:asciiTheme="minorEastAsia" w:hAnsiTheme="minorEastAsia"/>
              </w:rPr>
              <w:t>内；</w:t>
            </w:r>
          </w:p>
          <w:p w14:paraId="738FE28C">
            <w:pPr>
              <w:jc w:val="left"/>
              <w:rPr>
                <w:rFonts w:hint="eastAsia" w:asciiTheme="minorEastAsia" w:hAnsiTheme="minorEastAsia"/>
              </w:rPr>
            </w:pPr>
            <w:r>
              <w:rPr>
                <w:rFonts w:hint="eastAsia" w:asciiTheme="minorEastAsia" w:hAnsiTheme="minorEastAsia"/>
              </w:rPr>
              <w:t>3</w:t>
            </w:r>
            <w:r>
              <w:rPr>
                <w:rFonts w:hint="eastAsia" w:asciiTheme="minorEastAsia" w:hAnsiTheme="minorEastAsia"/>
                <w:lang w:eastAsia="zh-CN"/>
              </w:rPr>
              <w:t>.</w:t>
            </w:r>
            <w:r>
              <w:rPr>
                <w:rFonts w:hint="eastAsia" w:asciiTheme="minorEastAsia" w:hAnsiTheme="minorEastAsia"/>
              </w:rPr>
              <w:t>错误计数器，初始值为3，密码核对出错1次，便减1，若计数器值为0，则卡自动锁死，数据只可读出，不可再进行更改也无法再进行密码核对；若不为零时，有一次密码核对正确，可恢复到初始值3；</w:t>
            </w:r>
          </w:p>
          <w:p w14:paraId="37FD5F36">
            <w:pPr>
              <w:jc w:val="left"/>
              <w:rPr>
                <w:rFonts w:hint="eastAsia" w:asciiTheme="minorEastAsia" w:hAnsiTheme="minorEastAsia"/>
              </w:rPr>
            </w:pPr>
            <w:r>
              <w:rPr>
                <w:rFonts w:hint="eastAsia" w:asciiTheme="minorEastAsia" w:hAnsiTheme="minorEastAsia"/>
              </w:rPr>
              <w:t>4</w:t>
            </w:r>
            <w:r>
              <w:rPr>
                <w:rFonts w:hint="eastAsia" w:asciiTheme="minorEastAsia" w:hAnsiTheme="minorEastAsia"/>
                <w:lang w:eastAsia="zh-CN"/>
              </w:rPr>
              <w:t>.</w:t>
            </w:r>
            <w:r>
              <w:rPr>
                <w:rFonts w:hint="eastAsia" w:asciiTheme="minorEastAsia" w:hAnsiTheme="minorEastAsia"/>
              </w:rPr>
              <w:t>写保护区（前32个字节）的每一字节可单独进行写保护，进行写保护后，内容不可再更改（即固化数据）。</w:t>
            </w:r>
          </w:p>
          <w:p w14:paraId="1AA6DA4D">
            <w:pPr>
              <w:jc w:val="left"/>
              <w:rPr>
                <w:rFonts w:hint="eastAsia" w:asciiTheme="minorEastAsia" w:hAnsiTheme="minorEastAsia"/>
              </w:rPr>
            </w:pPr>
            <w:r>
              <w:rPr>
                <w:rFonts w:hint="eastAsia" w:asciiTheme="minorEastAsia" w:hAnsiTheme="minorEastAsia"/>
              </w:rPr>
              <w:t>（14）支持医保系统及HIS的一卡通。</w:t>
            </w:r>
          </w:p>
          <w:p w14:paraId="0E1179CB">
            <w:pPr>
              <w:jc w:val="left"/>
              <w:rPr>
                <w:rFonts w:hint="eastAsia" w:asciiTheme="minorEastAsia" w:hAnsiTheme="minorEastAsia"/>
              </w:rPr>
            </w:pPr>
            <w:r>
              <w:rPr>
                <w:rFonts w:hint="eastAsia" w:asciiTheme="minorEastAsia" w:hAnsiTheme="minorEastAsia"/>
              </w:rPr>
              <w:t>卡片初始信息包括病人社保基本信息、账户信息、病人照片等。</w:t>
            </w:r>
          </w:p>
          <w:p w14:paraId="4F7A0E9A">
            <w:pPr>
              <w:jc w:val="left"/>
              <w:rPr>
                <w:rFonts w:hint="eastAsia" w:asciiTheme="minorEastAsia" w:hAnsiTheme="minorEastAsia"/>
              </w:rPr>
            </w:pPr>
            <w:r>
              <w:rPr>
                <w:rFonts w:hint="eastAsia" w:asciiTheme="minorEastAsia" w:hAnsiTheme="minorEastAsia"/>
              </w:rPr>
              <w:t>（15）卡片正面四色印刷，保证印刷图案清晰，还原度好，无错位；图像精度400dpi；图像色彩模式：使作CMYK（Cyan青，Magenta品红，Yellow黄，black黑）四色印刷模式，不使用RGB（Red红，Green绿，Blue蓝）三原色模式。</w:t>
            </w:r>
          </w:p>
          <w:p w14:paraId="4A3B1B0E">
            <w:pPr>
              <w:jc w:val="left"/>
              <w:rPr>
                <w:rFonts w:hint="eastAsia" w:asciiTheme="minorEastAsia" w:hAnsiTheme="minorEastAsia"/>
              </w:rPr>
            </w:pPr>
            <w:r>
              <w:rPr>
                <w:rFonts w:hint="eastAsia" w:asciiTheme="minorEastAsia" w:hAnsiTheme="minorEastAsia"/>
              </w:rPr>
              <w:t>（16）废卡率＜0.3％。</w:t>
            </w:r>
          </w:p>
          <w:p w14:paraId="188F0A15">
            <w:pPr>
              <w:jc w:val="left"/>
              <w:rPr>
                <w:rFonts w:hint="eastAsia" w:asciiTheme="minorEastAsia" w:hAnsiTheme="minorEastAsia"/>
              </w:rPr>
            </w:pPr>
            <w:r>
              <w:rPr>
                <w:rFonts w:hint="eastAsia" w:asciiTheme="minorEastAsia" w:hAnsiTheme="minorEastAsia"/>
              </w:rPr>
              <w:t>（17）</w:t>
            </w:r>
            <w:r>
              <w:rPr>
                <w:rFonts w:hint="eastAsia" w:asciiTheme="minorEastAsia" w:hAnsiTheme="minorEastAsia"/>
                <w:b/>
                <w:bCs/>
              </w:rPr>
              <w:t>保修期：一年。</w:t>
            </w:r>
          </w:p>
          <w:p w14:paraId="42827CD4">
            <w:pPr>
              <w:jc w:val="left"/>
              <w:rPr>
                <w:rFonts w:hint="eastAsia" w:asciiTheme="minorEastAsia" w:hAnsiTheme="minorEastAsia"/>
              </w:rPr>
            </w:pPr>
            <w:r>
              <w:rPr>
                <w:rFonts w:hint="eastAsia" w:asciiTheme="minorEastAsia" w:hAnsiTheme="minorEastAsia"/>
              </w:rPr>
              <w:t>（18）印刷的图案的颜色与现在使用的卡片无明显色差。</w:t>
            </w:r>
          </w:p>
          <w:p w14:paraId="22FBA982">
            <w:pPr>
              <w:jc w:val="left"/>
              <w:rPr>
                <w:rFonts w:hint="eastAsia" w:asciiTheme="minorEastAsia" w:hAnsiTheme="minorEastAsia"/>
              </w:rPr>
            </w:pPr>
            <w:r>
              <w:rPr>
                <w:rFonts w:hint="eastAsia" w:asciiTheme="minorEastAsia" w:hAnsiTheme="minorEastAsia"/>
              </w:rPr>
              <w:t>（19）根据采购人通知使用一卡通的要求，来增减使用IC卡的数量。</w:t>
            </w:r>
            <w:r>
              <w:rPr>
                <w:rFonts w:hint="eastAsia" w:asciiTheme="minorEastAsia" w:hAnsiTheme="minorEastAsia"/>
                <w:b/>
                <w:bCs/>
              </w:rPr>
              <w:t>（提供集成电路卡注册证书）</w:t>
            </w:r>
          </w:p>
          <w:p w14:paraId="2BA2A78F">
            <w:pPr>
              <w:jc w:val="left"/>
              <w:rPr>
                <w:rFonts w:hint="eastAsia" w:asciiTheme="minorEastAsia" w:hAnsiTheme="minorEastAsia"/>
              </w:rPr>
            </w:pPr>
            <w:r>
              <w:rPr>
                <w:rFonts w:hint="eastAsia" w:asciiTheme="minorEastAsia" w:hAnsiTheme="minorEastAsia"/>
              </w:rPr>
              <w:t>（2</w:t>
            </w:r>
            <w:r>
              <w:rPr>
                <w:rFonts w:hint="eastAsia" w:asciiTheme="minorEastAsia" w:hAnsiTheme="minorEastAsia"/>
                <w:lang w:val="en-US" w:eastAsia="zh-CN"/>
              </w:rPr>
              <w:t>0</w:t>
            </w:r>
            <w:r>
              <w:rPr>
                <w:rFonts w:hint="eastAsia" w:asciiTheme="minorEastAsia" w:hAnsiTheme="minorEastAsia"/>
              </w:rPr>
              <w:t>）兼容医院信息系统中建卡、充值、挂号、缴费、查询等所有操作。</w:t>
            </w:r>
          </w:p>
          <w:p w14:paraId="1A02EFCB">
            <w:pPr>
              <w:jc w:val="left"/>
              <w:rPr>
                <w:rFonts w:hint="eastAsia" w:asciiTheme="minorEastAsia" w:hAnsiTheme="minorEastAsia"/>
                <w:b/>
                <w:bCs/>
              </w:rPr>
            </w:pPr>
            <w:r>
              <w:rPr>
                <w:rFonts w:hint="eastAsia" w:asciiTheme="minorEastAsia" w:hAnsiTheme="minorEastAsia"/>
              </w:rPr>
              <w:t>（21）因医院系统具备储值付费等功能，为安全性考虑，对就诊卡进行加密。</w:t>
            </w:r>
            <w:r>
              <w:rPr>
                <w:rFonts w:hint="eastAsia" w:asciiTheme="minorEastAsia" w:hAnsiTheme="minorEastAsia"/>
                <w:b/>
                <w:bCs/>
              </w:rPr>
              <w:t>（提供商用密码产品认证证书）</w:t>
            </w:r>
          </w:p>
          <w:p w14:paraId="03F2B7AA">
            <w:pPr>
              <w:jc w:val="left"/>
              <w:rPr>
                <w:rFonts w:hint="eastAsia" w:ascii="宋体" w:hAnsi="宋体" w:eastAsia="宋体" w:cs="宋体"/>
                <w:sz w:val="20"/>
                <w:szCs w:val="20"/>
                <w:lang w:val="en-US" w:eastAsia="zh-CN"/>
              </w:rPr>
            </w:pPr>
            <w:r>
              <w:rPr>
                <w:rFonts w:hint="eastAsia" w:asciiTheme="minorEastAsia" w:hAnsiTheme="minorEastAsia"/>
              </w:rPr>
              <w:t>（22）</w:t>
            </w:r>
            <w:r>
              <w:rPr>
                <w:rFonts w:hint="eastAsia" w:asciiTheme="minorEastAsia" w:hAnsiTheme="minorEastAsia"/>
                <w:lang w:eastAsia="zh-CN"/>
              </w:rPr>
              <w:t>报价人</w:t>
            </w:r>
            <w:r>
              <w:rPr>
                <w:rFonts w:hint="eastAsia" w:asciiTheme="minorEastAsia" w:hAnsiTheme="minorEastAsia"/>
              </w:rPr>
              <w:t>提供的IC就诊卡写卡工作及根据医院的要求制做并印刷卡面，所供IC卡能直接在医院信息系统使用。</w:t>
            </w: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2</w:t>
            </w:r>
          </w:p>
        </w:tc>
        <w:tc>
          <w:tcPr>
            <w:tcW w:w="2543" w:type="pct"/>
            <w:vAlign w:val="center"/>
          </w:tcPr>
          <w:p w14:paraId="6C0740A5">
            <w:pPr>
              <w:widowControl w:val="0"/>
              <w:tabs>
                <w:tab w:val="left" w:pos="5355"/>
              </w:tabs>
              <w:rPr>
                <w:rFonts w:hint="eastAsia" w:asciiTheme="minorEastAsia" w:hAnsiTheme="minorEastAsia"/>
                <w:b/>
                <w:sz w:val="20"/>
                <w:highlight w:val="none"/>
                <w:lang w:val="en-GB"/>
              </w:rPr>
            </w:pPr>
            <w:r>
              <w:rPr>
                <w:rFonts w:hint="eastAsia" w:asciiTheme="minorEastAsia" w:hAnsiTheme="minorEastAsia"/>
                <w:b/>
                <w:sz w:val="20"/>
                <w:highlight w:val="none"/>
                <w:lang w:val="en-GB"/>
              </w:rPr>
              <w:t>售后服务要求</w:t>
            </w:r>
          </w:p>
          <w:p w14:paraId="34C6BB68">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1.在售后服务期范围内，</w:t>
            </w:r>
            <w:r>
              <w:rPr>
                <w:rFonts w:hint="eastAsia" w:ascii="宋体" w:hAnsi="宋体" w:eastAsia="宋体" w:cs="宋体"/>
                <w:sz w:val="20"/>
                <w:szCs w:val="20"/>
                <w:lang w:eastAsia="zh-CN"/>
              </w:rPr>
              <w:t>报价</w:t>
            </w:r>
            <w:r>
              <w:rPr>
                <w:rFonts w:hint="eastAsia" w:ascii="宋体" w:hAnsi="宋体" w:eastAsia="宋体" w:cs="宋体"/>
                <w:sz w:val="20"/>
                <w:szCs w:val="20"/>
              </w:rPr>
              <w:t>人须提供7×24小时电话热线咨询服务；对系统故障进行及时响应，</w:t>
            </w:r>
            <w:r>
              <w:rPr>
                <w:rFonts w:hint="eastAsia" w:ascii="宋体" w:hAnsi="宋体" w:eastAsia="宋体" w:cs="宋体"/>
                <w:sz w:val="20"/>
                <w:szCs w:val="20"/>
                <w:lang w:eastAsia="zh-CN"/>
              </w:rPr>
              <w:t>报价人</w:t>
            </w:r>
            <w:r>
              <w:rPr>
                <w:rFonts w:hint="eastAsia" w:ascii="宋体" w:hAnsi="宋体" w:eastAsia="宋体" w:cs="宋体"/>
                <w:sz w:val="20"/>
                <w:szCs w:val="20"/>
              </w:rPr>
              <w:t>须在采购人提出现场响应要求后6小时内到达现场。</w:t>
            </w:r>
          </w:p>
          <w:p w14:paraId="7F8ED15F">
            <w:pPr>
              <w:widowControl w:val="0"/>
              <w:tabs>
                <w:tab w:val="left" w:pos="5355"/>
              </w:tabs>
              <w:jc w:val="left"/>
              <w:rPr>
                <w:rFonts w:hint="eastAsia" w:eastAsia="宋体" w:asciiTheme="minorEastAsia" w:hAnsiTheme="minorEastAsia"/>
                <w:sz w:val="20"/>
                <w:lang w:val="en-GB" w:eastAsia="zh-CN"/>
              </w:rPr>
            </w:pPr>
            <w:r>
              <w:rPr>
                <w:rFonts w:hint="eastAsia" w:ascii="宋体" w:hAnsi="宋体" w:eastAsia="宋体" w:cs="宋体"/>
                <w:sz w:val="20"/>
                <w:szCs w:val="20"/>
                <w:lang w:val="en-US" w:eastAsia="zh-CN"/>
              </w:rPr>
              <w:t>2</w:t>
            </w:r>
            <w:r>
              <w:rPr>
                <w:rFonts w:hint="eastAsia" w:ascii="宋体" w:hAnsi="宋体" w:eastAsia="宋体" w:cs="宋体"/>
                <w:sz w:val="20"/>
                <w:szCs w:val="20"/>
              </w:rPr>
              <w:t>.</w:t>
            </w:r>
            <w:r>
              <w:rPr>
                <w:rFonts w:hint="eastAsia" w:ascii="宋体" w:hAnsi="宋体" w:eastAsia="宋体" w:cs="宋体"/>
                <w:sz w:val="20"/>
                <w:szCs w:val="20"/>
                <w:lang w:eastAsia="zh-CN"/>
              </w:rPr>
              <w:t>报价人</w:t>
            </w:r>
            <w:r>
              <w:rPr>
                <w:rFonts w:hint="eastAsia" w:ascii="宋体" w:hAnsi="宋体" w:eastAsia="宋体" w:cs="宋体"/>
                <w:sz w:val="20"/>
                <w:szCs w:val="20"/>
              </w:rPr>
              <w:t>具有完善的售后服务管理体系；</w:t>
            </w:r>
            <w:r>
              <w:rPr>
                <w:rFonts w:hint="eastAsia" w:ascii="宋体" w:hAnsi="宋体" w:eastAsia="宋体" w:cs="宋体"/>
                <w:sz w:val="20"/>
                <w:szCs w:val="20"/>
                <w:lang w:eastAsia="zh-CN"/>
              </w:rPr>
              <w:t>免费更换废卡；</w:t>
            </w:r>
            <w:r>
              <w:rPr>
                <w:rFonts w:hint="eastAsia" w:ascii="宋体" w:hAnsi="宋体" w:eastAsia="宋体" w:cs="宋体"/>
                <w:sz w:val="20"/>
                <w:szCs w:val="20"/>
              </w:rPr>
              <w:t>免费为医院培训操作人员，使操作人员能熟练操作。</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3</w:t>
            </w:r>
          </w:p>
        </w:tc>
        <w:tc>
          <w:tcPr>
            <w:tcW w:w="2543" w:type="pct"/>
            <w:vAlign w:val="center"/>
          </w:tcPr>
          <w:p w14:paraId="7588357B">
            <w:pPr>
              <w:widowControl w:val="0"/>
              <w:tabs>
                <w:tab w:val="left" w:pos="5355"/>
              </w:tabs>
              <w:rPr>
                <w:rFonts w:asciiTheme="minorEastAsia" w:hAnsiTheme="minorEastAsia"/>
                <w:b/>
                <w:sz w:val="20"/>
                <w:highlight w:val="none"/>
                <w:lang w:val="en-GB"/>
              </w:rPr>
            </w:pPr>
            <w:r>
              <w:rPr>
                <w:rFonts w:hint="eastAsia" w:asciiTheme="minorEastAsia" w:hAnsiTheme="minorEastAsia"/>
                <w:b/>
                <w:sz w:val="20"/>
                <w:highlight w:val="none"/>
                <w:lang w:val="en-GB"/>
              </w:rPr>
              <w:t>验收标准和验收方法</w:t>
            </w:r>
          </w:p>
          <w:p w14:paraId="183AFCA1">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w:t>
            </w:r>
            <w:r>
              <w:rPr>
                <w:rFonts w:hint="eastAsia" w:asciiTheme="minorEastAsia" w:hAnsiTheme="minorEastAsia"/>
                <w:sz w:val="20"/>
                <w:highlight w:val="none"/>
                <w:lang w:val="en-US" w:eastAsia="zh-CN"/>
              </w:rPr>
              <w:t>货物</w:t>
            </w:r>
            <w:r>
              <w:rPr>
                <w:rFonts w:hint="eastAsia" w:asciiTheme="minorEastAsia" w:hAnsiTheme="minorEastAsia"/>
                <w:sz w:val="20"/>
                <w:highlight w:val="none"/>
                <w:lang w:val="en-GB"/>
              </w:rPr>
              <w:t>按</w:t>
            </w:r>
            <w:r>
              <w:rPr>
                <w:rFonts w:hint="eastAsia" w:asciiTheme="minorEastAsia" w:hAnsiTheme="minorEastAsia"/>
                <w:sz w:val="20"/>
                <w:lang w:val="en-GB"/>
              </w:rPr>
              <w:t>国家行业标准及询价文件“采购内容及要求”进行验收。产品质量达到设计要求安装调试各项指标符合技术参数；所产生费用由供应商负责。</w:t>
            </w:r>
          </w:p>
          <w:p w14:paraId="4FDD4966">
            <w:pPr>
              <w:widowControl w:val="0"/>
              <w:tabs>
                <w:tab w:val="left" w:pos="5355"/>
              </w:tabs>
              <w:rPr>
                <w:rFonts w:hint="eastAsia" w:asciiTheme="minorEastAsia" w:hAnsiTheme="minorEastAsia"/>
                <w:sz w:val="20"/>
                <w:lang w:val="en-GB"/>
              </w:rPr>
            </w:pPr>
            <w:r>
              <w:rPr>
                <w:rFonts w:hint="eastAsia" w:asciiTheme="minorEastAsia" w:hAnsiTheme="minorEastAsia"/>
                <w:sz w:val="20"/>
                <w:lang w:val="en-GB"/>
              </w:rPr>
              <w:t>2.</w:t>
            </w:r>
            <w:r>
              <w:rPr>
                <w:rFonts w:hint="eastAsia" w:cs="宋体" w:asciiTheme="majorEastAsia" w:hAnsiTheme="majorEastAsia" w:eastAsiaTheme="majorEastAsia"/>
                <w:sz w:val="18"/>
                <w:szCs w:val="18"/>
                <w:highlight w:val="none"/>
                <w:lang w:bidi="ar"/>
              </w:rPr>
              <w:t>（1）</w:t>
            </w:r>
            <w:r>
              <w:rPr>
                <w:rFonts w:hint="eastAsia" w:asciiTheme="minorEastAsia" w:hAnsiTheme="minorEastAsia"/>
                <w:sz w:val="20"/>
                <w:lang w:val="en-GB"/>
              </w:rPr>
              <w:t>所提供的IC就诊卡能在采购人医生端及收费系统内进行建卡、建档、缴费等流程测试，流程测试后可以正常使用并能读取卡片信息的视为测试通过。未通过测试的，</w:t>
            </w:r>
            <w:r>
              <w:rPr>
                <w:rFonts w:hint="eastAsia" w:asciiTheme="minorEastAsia" w:hAnsiTheme="minorEastAsia"/>
                <w:sz w:val="20"/>
                <w:lang w:val="en-GB" w:eastAsia="zh-CN"/>
              </w:rPr>
              <w:t>验收不合格的，供应商需进行更换或整改，并重新测试直至达到最终验收合格</w:t>
            </w:r>
            <w:r>
              <w:rPr>
                <w:rFonts w:hint="eastAsia" w:asciiTheme="minorEastAsia" w:hAnsiTheme="minorEastAsia"/>
                <w:sz w:val="20"/>
                <w:lang w:val="en-GB"/>
              </w:rPr>
              <w:t>。若验收不通过的并造成采购人损失的，</w:t>
            </w:r>
            <w:r>
              <w:rPr>
                <w:rFonts w:hint="eastAsia" w:asciiTheme="minorEastAsia" w:hAnsiTheme="minorEastAsia"/>
                <w:sz w:val="20"/>
                <w:lang w:val="en-GB" w:eastAsia="zh-CN"/>
              </w:rPr>
              <w:t>供应商</w:t>
            </w:r>
            <w:r>
              <w:rPr>
                <w:rFonts w:hint="eastAsia" w:asciiTheme="minorEastAsia" w:hAnsiTheme="minorEastAsia"/>
                <w:sz w:val="20"/>
                <w:lang w:val="en-GB"/>
              </w:rPr>
              <w:t>须承担赔偿责任。</w:t>
            </w:r>
          </w:p>
          <w:p w14:paraId="3BDAB954">
            <w:pPr>
              <w:widowControl w:val="0"/>
              <w:tabs>
                <w:tab w:val="left" w:pos="5355"/>
              </w:tabs>
              <w:rPr>
                <w:rFonts w:asciiTheme="minorEastAsia" w:hAnsiTheme="minorEastAsia"/>
                <w:sz w:val="20"/>
                <w:lang w:val="en-GB"/>
              </w:rPr>
            </w:pPr>
            <w:r>
              <w:rPr>
                <w:rFonts w:hint="eastAsia" w:cs="宋体" w:asciiTheme="majorEastAsia" w:hAnsiTheme="majorEastAsia" w:eastAsiaTheme="majorEastAsia"/>
                <w:sz w:val="18"/>
                <w:szCs w:val="18"/>
                <w:highlight w:val="none"/>
                <w:lang w:bidi="ar"/>
              </w:rPr>
              <w:t>（2）</w:t>
            </w:r>
            <w:r>
              <w:rPr>
                <w:rFonts w:hint="eastAsia" w:asciiTheme="minorEastAsia" w:hAnsiTheme="minorEastAsia"/>
                <w:sz w:val="20"/>
                <w:lang w:val="en-GB"/>
              </w:rPr>
              <w:t>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4</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hint="eastAsia" w:asciiTheme="minorEastAsia" w:hAnsiTheme="minorEastAsia" w:eastAsiaTheme="minorEastAsia"/>
                <w:sz w:val="20"/>
                <w:lang w:eastAsia="zh-CN"/>
              </w:rPr>
            </w:pPr>
            <w:r>
              <w:rPr>
                <w:rFonts w:hint="eastAsia" w:asciiTheme="minorEastAsia" w:hAnsiTheme="minorEastAsia"/>
                <w:sz w:val="20"/>
                <w:lang w:val="en-US" w:eastAsia="zh-CN"/>
              </w:rPr>
              <w:t>5</w:t>
            </w:r>
            <w:bookmarkStart w:id="2" w:name="_GoBack"/>
            <w:bookmarkEnd w:id="2"/>
          </w:p>
        </w:tc>
        <w:tc>
          <w:tcPr>
            <w:tcW w:w="2543" w:type="pct"/>
            <w:tcBorders>
              <w:bottom w:val="single" w:color="auto" w:sz="4" w:space="0"/>
            </w:tcBorders>
            <w:vAlign w:val="center"/>
          </w:tcPr>
          <w:p w14:paraId="01257999">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293138B8">
            <w:pPr>
              <w:widowControl w:val="0"/>
              <w:tabs>
                <w:tab w:val="left" w:pos="5355"/>
              </w:tabs>
              <w:rPr>
                <w:rFonts w:hint="eastAsia" w:asciiTheme="minorEastAsia" w:hAnsiTheme="minorEastAsia"/>
                <w:sz w:val="20"/>
                <w:lang w:val="en-GB"/>
              </w:rPr>
            </w:pPr>
            <w:r>
              <w:rPr>
                <w:rFonts w:hint="eastAsia" w:asciiTheme="minorEastAsia" w:hAnsiTheme="minorEastAsia"/>
                <w:sz w:val="20"/>
                <w:lang w:val="en-US" w:eastAsia="zh-CN"/>
              </w:rPr>
              <w:t>验收合格后1个月内，供应商开具</w:t>
            </w:r>
            <w:r>
              <w:rPr>
                <w:rFonts w:hint="eastAsia" w:asciiTheme="minorEastAsia" w:hAnsiTheme="minorEastAsia"/>
                <w:sz w:val="20"/>
                <w:lang w:val="en-GB"/>
              </w:rPr>
              <w:t>合同价款 100% 的含税发票，报</w:t>
            </w:r>
            <w:r>
              <w:rPr>
                <w:rFonts w:hint="eastAsia" w:asciiTheme="minorEastAsia" w:hAnsiTheme="minorEastAsia"/>
                <w:sz w:val="20"/>
                <w:lang w:val="en-GB" w:eastAsia="zh-CN"/>
              </w:rPr>
              <w:t>采购人</w:t>
            </w:r>
            <w:r>
              <w:rPr>
                <w:rFonts w:hint="eastAsia" w:asciiTheme="minorEastAsia" w:hAnsiTheme="minorEastAsia"/>
                <w:sz w:val="20"/>
                <w:lang w:val="en-GB"/>
              </w:rPr>
              <w:t>办理付款事宜，</w:t>
            </w:r>
            <w:r>
              <w:rPr>
                <w:rFonts w:hint="eastAsia" w:asciiTheme="minorEastAsia" w:hAnsiTheme="minorEastAsia"/>
                <w:sz w:val="20"/>
                <w:lang w:val="en-GB" w:eastAsia="zh-CN"/>
              </w:rPr>
              <w:t>采购人</w:t>
            </w:r>
            <w:r>
              <w:rPr>
                <w:rFonts w:hint="eastAsia" w:asciiTheme="minorEastAsia" w:hAnsiTheme="minorEastAsia"/>
                <w:sz w:val="20"/>
                <w:lang w:val="en-GB"/>
              </w:rPr>
              <w:t>以银行转帐方式支付合同价款的100%。</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1A6EC85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（1）容量：≥256*8位 EEPROM。；</w:t>
      </w:r>
    </w:p>
    <w:p w14:paraId="5AE9DFA1">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（2）支持符合ISO7816-3标准的T=0、T=1通讯协议；</w:t>
      </w:r>
    </w:p>
    <w:p w14:paraId="7480E54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（3）具有复合RF功能，工作频率: 13.56MHZ；</w:t>
      </w:r>
    </w:p>
    <w:p w14:paraId="5A5F0C2B">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（4）通讯速度: 106Kboud</w:t>
      </w:r>
    </w:p>
    <w:p w14:paraId="4C41D38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（5）读写时间: 1-2MS</w:t>
      </w:r>
    </w:p>
    <w:p w14:paraId="4405543D">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（6）工作温度: -20℃-85℃，温度： -10℃and+50℃</w:t>
      </w:r>
    </w:p>
    <w:p w14:paraId="4EA3010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（7）擦写次数:＞100000次</w:t>
      </w:r>
    </w:p>
    <w:p w14:paraId="712D6B1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（8）数据保存:＞10年</w:t>
      </w:r>
    </w:p>
    <w:p w14:paraId="5FF6351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（9）制作标准: ISO 14443,ISO 10536</w:t>
      </w:r>
    </w:p>
    <w:p w14:paraId="2052111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（10）封装材料: PVC、PET</w:t>
      </w:r>
    </w:p>
    <w:p w14:paraId="5DDEC90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（11）32位保护存储器；</w:t>
      </w:r>
    </w:p>
    <w:p w14:paraId="31EA3DA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（12）密码：3字节密码，密码错误计数器：3次；</w:t>
      </w:r>
    </w:p>
    <w:p w14:paraId="555899B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（13）具有读写操作功能，支持字节直接寻址，低地址32字节数据设不可恢复的写保护位，32位保护位，写数据操作结束标志，符合7816-3标准的复位响应。</w:t>
      </w:r>
    </w:p>
    <w:p w14:paraId="53C3CA3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1.密码核对正确前，全部数据只可读，不可改写；</w:t>
      </w:r>
    </w:p>
    <w:p w14:paraId="1B3D571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2.核对密码正确后可以更改数据，包括密码在内；</w:t>
      </w:r>
    </w:p>
    <w:p w14:paraId="2DB60927">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3.错误计数器，初始值为3，密码核对出错1次，便减1，若计数器值为0，则卡自动锁死，数据只可读出，不可再进行更改也无法再进行密码核对；若不为零时，有一次密码核对正确，可恢复到初始值3；</w:t>
      </w:r>
    </w:p>
    <w:p w14:paraId="27D4505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4.写保护区（前32个字节）的每一字节可单独进行写保护，进行写保护后，内容不可再更改（即固化数据）。</w:t>
      </w:r>
    </w:p>
    <w:p w14:paraId="1B3C99D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（14）支持医保系统及HIS的一卡通。</w:t>
      </w:r>
    </w:p>
    <w:p w14:paraId="63BF6CA0">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卡片初始信息包括病人社保基本信息、账户信息、病人照片等。</w:t>
      </w:r>
    </w:p>
    <w:p w14:paraId="22355714">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（15）卡片正面四色印刷，保证印刷图案清晰，还原度好，无错位；图像精度400dpi；图像色彩模式：使作CMYK（Cyan青，Magenta品红，Yellow黄，black黑）四色印刷模式，不使用RGB（Red红，Green绿，Blue蓝）三原色模式。</w:t>
      </w:r>
    </w:p>
    <w:p w14:paraId="69A3D67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（16）废卡率＜0.3％。</w:t>
      </w:r>
    </w:p>
    <w:p w14:paraId="0FC53C53">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（17）保修期：一年。</w:t>
      </w:r>
    </w:p>
    <w:p w14:paraId="4C73590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（18）印刷的图案的颜色与现在使用的卡片无明显色差。</w:t>
      </w:r>
    </w:p>
    <w:p w14:paraId="4A39786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（19）根据采购人通知使用一卡通的要求，来增减使用IC卡的数量。（提供集成电路卡注册证书）</w:t>
      </w:r>
    </w:p>
    <w:p w14:paraId="41A9814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（20）兼容医院信息系统中建卡、充值、挂号、缴费、查询等所有操作。</w:t>
      </w:r>
    </w:p>
    <w:p w14:paraId="512268AB">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（21）因医院系统具备储值付费等功能，为安全性考虑，对就诊卡进行加密。（提供商用密码产品认证证书）</w:t>
      </w:r>
    </w:p>
    <w:p w14:paraId="5971DDBD">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（22）报价人提供的IC就诊卡写卡工作及根据医院的要求制做并印刷卡面，所供IC卡能直接在医院信息系统使用。</w:t>
      </w:r>
    </w:p>
    <w:p w14:paraId="1C1AD406">
      <w:pPr>
        <w:spacing w:line="360" w:lineRule="auto"/>
        <w:ind w:firstLine="482" w:firstLineChars="200"/>
        <w:rPr>
          <w:rFonts w:hint="eastAsia" w:ascii="宋体" w:hAnsi="宋体" w:eastAsia="宋体" w:cs="Times New Roman"/>
          <w:b/>
          <w:sz w:val="24"/>
          <w:szCs w:val="24"/>
          <w:lang w:val="en-GB"/>
        </w:rPr>
      </w:pPr>
      <w:r>
        <w:rPr>
          <w:rFonts w:hint="eastAsia" w:ascii="宋体" w:hAnsi="宋体" w:eastAsia="宋体" w:cs="Times New Roman"/>
          <w:b/>
          <w:sz w:val="24"/>
          <w:szCs w:val="24"/>
          <w:lang w:eastAsia="zh-CN"/>
        </w:rPr>
        <w:t>二</w:t>
      </w:r>
      <w:r>
        <w:rPr>
          <w:rFonts w:hint="eastAsia" w:ascii="宋体" w:hAnsi="宋体" w:eastAsia="宋体" w:cs="Times New Roman"/>
          <w:b/>
          <w:sz w:val="24"/>
          <w:szCs w:val="24"/>
        </w:rPr>
        <w:t>、</w:t>
      </w:r>
      <w:r>
        <w:rPr>
          <w:rFonts w:hint="eastAsia" w:ascii="宋体" w:hAnsi="宋体" w:eastAsia="宋体" w:cs="Times New Roman"/>
          <w:b/>
          <w:sz w:val="24"/>
          <w:szCs w:val="24"/>
          <w:lang w:val="en-GB"/>
        </w:rPr>
        <w:t>售后服务要求</w:t>
      </w:r>
    </w:p>
    <w:p w14:paraId="7F143C4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1.在售后服务期范围内，报价人须提供7×24小时电话热线咨询服务；对系统故障进行及时响应，报价人须在采购人提出现场响应要求后6小时内到达现场。</w:t>
      </w:r>
    </w:p>
    <w:p w14:paraId="5D46CF50">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2.报价人具有完善的售后服务管理体系；免费更换废卡；免费为医院培训操作人员，使操作人员能熟练操作。</w:t>
      </w:r>
    </w:p>
    <w:p w14:paraId="0A0076D1">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lang w:eastAsia="zh-CN"/>
        </w:rPr>
        <w:t>三</w:t>
      </w:r>
      <w:r>
        <w:rPr>
          <w:rFonts w:hint="eastAsia" w:ascii="宋体" w:hAnsi="宋体" w:eastAsia="宋体" w:cs="Times New Roman"/>
          <w:b/>
          <w:sz w:val="24"/>
          <w:szCs w:val="24"/>
        </w:rPr>
        <w:t>、验收标准和验收方法</w:t>
      </w:r>
    </w:p>
    <w:p w14:paraId="7DE94698">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eastAsia="zh-CN"/>
        </w:rPr>
        <w:t>1.验收标准：</w:t>
      </w:r>
      <w:r>
        <w:rPr>
          <w:rFonts w:hint="eastAsia" w:ascii="宋体" w:hAnsi="宋体" w:eastAsia="宋体" w:cs="Times New Roman"/>
          <w:sz w:val="24"/>
          <w:szCs w:val="24"/>
          <w:lang w:val="en-US" w:eastAsia="zh-CN"/>
        </w:rPr>
        <w:t>货物</w:t>
      </w:r>
      <w:r>
        <w:rPr>
          <w:rFonts w:hint="eastAsia" w:ascii="宋体" w:hAnsi="宋体" w:eastAsia="宋体" w:cs="Times New Roman"/>
          <w:sz w:val="24"/>
          <w:szCs w:val="24"/>
          <w:lang w:val="en-GB" w:eastAsia="zh-CN"/>
        </w:rPr>
        <w:t>按国家行业标准及询价文件“采购内容及要求”进行验收。产品质量达到设计要求安装调试各项指标符合技术参数；所产生费用由供应商负责。</w:t>
      </w:r>
    </w:p>
    <w:p w14:paraId="72FE21BE">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GB" w:eastAsia="zh-CN"/>
        </w:rPr>
        <w:t>2.</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val="en-GB" w:eastAsia="zh-CN"/>
        </w:rPr>
        <w:t>所提供的IC就诊卡能在采购人医生端及收费系统内进行建卡、建档、缴费等流程测试，流程测试后可以正常使用并能读取卡片信息的视为测试通过。未通过测试的，验收不合格的，供应商需进行更换或整改，并重新测试直至达到最终验收合格。若验收不通过的并造成采购人损失的，供应商须承担赔偿责任。</w:t>
      </w:r>
    </w:p>
    <w:p w14:paraId="11010A33">
      <w:pPr>
        <w:spacing w:line="360" w:lineRule="auto"/>
        <w:ind w:firstLine="480" w:firstLineChars="200"/>
        <w:rPr>
          <w:rFonts w:hint="eastAsia" w:ascii="宋体" w:hAnsi="宋体" w:eastAsia="宋体" w:cs="Times New Roman"/>
          <w:sz w:val="24"/>
          <w:szCs w:val="24"/>
          <w:lang w:val="en-GB"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en-GB" w:eastAsia="zh-CN"/>
        </w:rPr>
        <w:t>最终验收所发生的一切费用由供应商承担。</w:t>
      </w:r>
    </w:p>
    <w:p w14:paraId="3D760AF0">
      <w:pPr>
        <w:spacing w:line="360" w:lineRule="auto"/>
        <w:ind w:firstLine="482" w:firstLineChars="20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四、知识产权</w:t>
      </w:r>
      <w:r>
        <w:rPr>
          <w:rFonts w:hint="eastAsia" w:ascii="宋体" w:hAnsi="宋体" w:eastAsia="宋体" w:cs="Times New Roman"/>
          <w:sz w:val="24"/>
          <w:szCs w:val="24"/>
          <w:lang w:val="en-US" w:eastAsia="zh-CN"/>
        </w:rPr>
        <w:t xml:space="preserve">  </w:t>
      </w:r>
    </w:p>
    <w:p w14:paraId="47ABA13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F34A04C">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lang w:eastAsia="zh-CN"/>
        </w:rPr>
        <w:t>五</w:t>
      </w:r>
      <w:r>
        <w:rPr>
          <w:rFonts w:hint="eastAsia" w:ascii="宋体" w:hAnsi="宋体" w:eastAsia="宋体" w:cs="Times New Roman"/>
          <w:b/>
          <w:sz w:val="24"/>
          <w:szCs w:val="24"/>
        </w:rPr>
        <w:t xml:space="preserve">、付款方式  </w:t>
      </w:r>
    </w:p>
    <w:p w14:paraId="248F0D5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US" w:eastAsia="zh-CN"/>
        </w:rPr>
        <w:t>验收合格后1个月内，供应商开具</w:t>
      </w:r>
      <w:r>
        <w:rPr>
          <w:rFonts w:hint="eastAsia" w:ascii="宋体" w:hAnsi="宋体" w:eastAsia="宋体" w:cs="Times New Roman"/>
          <w:sz w:val="24"/>
          <w:szCs w:val="24"/>
          <w:lang w:val="en-GB"/>
        </w:rPr>
        <w:t>合同价款 100% 的含税发票，报</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办理付款事宜，</w:t>
      </w:r>
      <w:r>
        <w:rPr>
          <w:rFonts w:hint="eastAsia" w:ascii="宋体" w:hAnsi="宋体" w:eastAsia="宋体" w:cs="Times New Roman"/>
          <w:sz w:val="24"/>
          <w:szCs w:val="24"/>
          <w:lang w:val="en-GB" w:eastAsia="zh-CN"/>
        </w:rPr>
        <w:t>采购人</w:t>
      </w:r>
      <w:r>
        <w:rPr>
          <w:rFonts w:hint="eastAsia" w:ascii="宋体" w:hAnsi="宋体" w:eastAsia="宋体" w:cs="Times New Roman"/>
          <w:sz w:val="24"/>
          <w:szCs w:val="24"/>
          <w:lang w:val="en-GB"/>
        </w:rPr>
        <w:t>以银行转帐方式支付合同价款的100%。</w:t>
      </w:r>
    </w:p>
    <w:p w14:paraId="119BA062">
      <w:pPr>
        <w:spacing w:line="400" w:lineRule="exact"/>
        <w:rPr>
          <w:rFonts w:ascii="宋体" w:hAnsi="宋体"/>
          <w:sz w:val="24"/>
        </w:rPr>
      </w:pPr>
    </w:p>
    <w:p w14:paraId="02AB5D77">
      <w:pPr>
        <w:spacing w:line="400" w:lineRule="exact"/>
        <w:rPr>
          <w:rFonts w:ascii="宋体" w:hAnsi="宋体"/>
          <w:sz w:val="24"/>
        </w:rPr>
      </w:pPr>
    </w:p>
    <w:p w14:paraId="358095E4">
      <w:pPr>
        <w:spacing w:line="400" w:lineRule="exact"/>
        <w:rPr>
          <w:rFonts w:ascii="宋体" w:hAnsi="宋体"/>
          <w:sz w:val="24"/>
        </w:rPr>
      </w:pPr>
    </w:p>
    <w:p w14:paraId="4146F348">
      <w:pPr>
        <w:spacing w:line="400" w:lineRule="exact"/>
        <w:rPr>
          <w:rFonts w:ascii="宋体" w:hAnsi="宋体"/>
          <w:sz w:val="24"/>
        </w:rPr>
      </w:pPr>
    </w:p>
    <w:p w14:paraId="1AA1C3E3">
      <w:pPr>
        <w:spacing w:line="400" w:lineRule="exact"/>
        <w:rPr>
          <w:rFonts w:ascii="宋体" w:hAnsi="宋体"/>
          <w:sz w:val="24"/>
        </w:rPr>
      </w:pPr>
    </w:p>
    <w:p w14:paraId="6CE39C24">
      <w:pPr>
        <w:spacing w:line="400" w:lineRule="exact"/>
        <w:rPr>
          <w:rFonts w:ascii="宋体" w:hAnsi="宋体"/>
          <w:sz w:val="24"/>
        </w:rPr>
      </w:pPr>
    </w:p>
    <w:p w14:paraId="0B9CD75F">
      <w:pPr>
        <w:spacing w:line="400" w:lineRule="exact"/>
        <w:rPr>
          <w:rFonts w:ascii="宋体" w:hAnsi="宋体"/>
          <w:sz w:val="24"/>
        </w:rPr>
      </w:pPr>
    </w:p>
    <w:p w14:paraId="4E0E4D02">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报价人（全称并加盖公章）：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w:t>
      </w:r>
      <w:r>
        <w:rPr>
          <w:rFonts w:hint="eastAsia" w:ascii="宋体" w:hAnsi="宋体"/>
          <w:b/>
          <w:sz w:val="24"/>
          <w:szCs w:val="20"/>
          <w:lang w:eastAsia="zh-CN"/>
        </w:rPr>
        <w:t>报价人</w:t>
      </w:r>
      <w:r>
        <w:rPr>
          <w:rFonts w:hint="eastAsia" w:ascii="宋体" w:hAnsi="宋体"/>
          <w:b/>
          <w:sz w:val="24"/>
          <w:szCs w:val="20"/>
        </w:rPr>
        <w:t>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为报价人代表，代表本公司参加的</w:t>
      </w:r>
      <w:r>
        <w:rPr>
          <w:rFonts w:hint="eastAsia"/>
          <w:sz w:val="24"/>
          <w:u w:val="single"/>
        </w:rPr>
        <w:t>福建中医药大学国医堂门诊部</w:t>
      </w:r>
      <w:r>
        <w:rPr>
          <w:rFonts w:hint="eastAsia" w:ascii="宋体" w:hAnsi="宋体"/>
          <w:sz w:val="24"/>
          <w:u w:val="single"/>
          <w:lang w:val="en-US" w:eastAsia="zh-CN"/>
        </w:rPr>
        <w:t>就诊卡询价采购</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报价人代表：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报价人（全称并加盖公章）：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报价人代表签字：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w:t>
      </w:r>
      <w:r>
        <w:rPr>
          <w:rFonts w:hint="eastAsia" w:ascii="宋体" w:hAnsi="宋体"/>
          <w:b/>
          <w:sz w:val="24"/>
          <w:szCs w:val="20"/>
          <w:lang w:eastAsia="zh-CN"/>
        </w:rPr>
        <w:t>报价人</w:t>
      </w:r>
      <w:r>
        <w:rPr>
          <w:rFonts w:hint="eastAsia" w:ascii="宋体" w:hAnsi="宋体"/>
          <w:b/>
          <w:sz w:val="24"/>
          <w:szCs w:val="20"/>
        </w:rPr>
        <w:t>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w:t>
      </w:r>
      <w:r>
        <w:rPr>
          <w:rFonts w:hint="eastAsia" w:ascii="宋体" w:hAnsi="宋体"/>
          <w:b/>
          <w:sz w:val="24"/>
          <w:szCs w:val="20"/>
          <w:lang w:eastAsia="zh-CN"/>
        </w:rPr>
        <w:t>报价人</w:t>
      </w:r>
      <w:r>
        <w:rPr>
          <w:rFonts w:hint="eastAsia" w:ascii="宋体" w:hAnsi="宋体"/>
          <w:b/>
          <w:sz w:val="24"/>
          <w:szCs w:val="20"/>
        </w:rPr>
        <w:t>制作投标文件时应删去此段话）</w:t>
      </w:r>
    </w:p>
    <w:p w14:paraId="352B8ADC">
      <w:pPr>
        <w:spacing w:line="400" w:lineRule="exact"/>
      </w:pPr>
    </w:p>
    <w:p w14:paraId="493D8A0E">
      <w:pPr>
        <w:spacing w:line="400" w:lineRule="exact"/>
      </w:pPr>
    </w:p>
    <w:p w14:paraId="122443EA">
      <w:pPr>
        <w:spacing w:line="400" w:lineRule="exact"/>
      </w:pPr>
    </w:p>
    <w:p w14:paraId="247EC2DF">
      <w:pPr>
        <w:spacing w:line="400" w:lineRule="exact"/>
      </w:pPr>
    </w:p>
    <w:p w14:paraId="7568400F">
      <w:pPr>
        <w:spacing w:line="400" w:lineRule="exact"/>
      </w:pPr>
    </w:p>
    <w:p w14:paraId="038ECC56">
      <w:pPr>
        <w:spacing w:line="400" w:lineRule="exact"/>
      </w:pPr>
    </w:p>
    <w:p w14:paraId="35A709DA">
      <w:pPr>
        <w:spacing w:line="400" w:lineRule="exact"/>
      </w:pPr>
    </w:p>
    <w:p w14:paraId="4632923D">
      <w:pPr>
        <w:spacing w:line="400" w:lineRule="exact"/>
      </w:pPr>
    </w:p>
    <w:p w14:paraId="19D665F0">
      <w:pPr>
        <w:spacing w:line="400" w:lineRule="exact"/>
      </w:pPr>
    </w:p>
    <w:p w14:paraId="1839AACE">
      <w:pPr>
        <w:spacing w:line="400" w:lineRule="exact"/>
        <w:rPr>
          <w:rFonts w:hint="eastAsia" w:ascii="宋体" w:hAnsi="宋体"/>
          <w:sz w:val="24"/>
          <w:lang w:eastAsia="zh-CN"/>
        </w:rPr>
      </w:pPr>
      <w:r>
        <w:rPr>
          <w:rFonts w:hint="eastAsia" w:ascii="宋体" w:hAnsi="宋体"/>
          <w:sz w:val="24"/>
          <w:lang w:eastAsia="zh-CN"/>
        </w:rPr>
        <w:t>附件四：</w:t>
      </w:r>
    </w:p>
    <w:p w14:paraId="63BC35BD">
      <w:pPr>
        <w:tabs>
          <w:tab w:val="left" w:pos="5355"/>
          <w:tab w:val="left" w:pos="8430"/>
        </w:tabs>
        <w:spacing w:line="360" w:lineRule="auto"/>
        <w:jc w:val="center"/>
        <w:rPr>
          <w:rFonts w:hint="eastAsia"/>
          <w:b/>
          <w:sz w:val="30"/>
          <w:szCs w:val="30"/>
          <w:lang w:val="en-US"/>
        </w:rPr>
      </w:pPr>
      <w:r>
        <w:rPr>
          <w:rFonts w:hint="eastAsia"/>
          <w:b/>
          <w:sz w:val="30"/>
          <w:szCs w:val="30"/>
          <w:lang w:val="en-US"/>
        </w:rPr>
        <w:t>相关资质证书复印件</w:t>
      </w:r>
    </w:p>
    <w:p w14:paraId="74F08EBE">
      <w:pPr>
        <w:numPr>
          <w:ilvl w:val="0"/>
          <w:numId w:val="1"/>
        </w:numPr>
        <w:tabs>
          <w:tab w:val="left" w:pos="5355"/>
          <w:tab w:val="left" w:pos="8430"/>
        </w:tabs>
        <w:spacing w:line="360" w:lineRule="auto"/>
        <w:jc w:val="left"/>
        <w:rPr>
          <w:rFonts w:hint="eastAsia" w:asciiTheme="minorEastAsia" w:hAnsiTheme="minorEastAsia"/>
          <w:b w:val="0"/>
          <w:bCs w:val="0"/>
        </w:rPr>
      </w:pPr>
      <w:r>
        <w:rPr>
          <w:rFonts w:hint="eastAsia" w:asciiTheme="minorEastAsia" w:hAnsiTheme="minorEastAsia"/>
          <w:b w:val="0"/>
          <w:bCs w:val="0"/>
        </w:rPr>
        <w:t>提供集成电路卡注册证书</w:t>
      </w:r>
    </w:p>
    <w:p w14:paraId="59936DBF">
      <w:pPr>
        <w:numPr>
          <w:ilvl w:val="0"/>
          <w:numId w:val="1"/>
        </w:numPr>
        <w:tabs>
          <w:tab w:val="left" w:pos="5355"/>
          <w:tab w:val="left" w:pos="8430"/>
        </w:tabs>
        <w:spacing w:line="360" w:lineRule="auto"/>
        <w:jc w:val="left"/>
        <w:rPr>
          <w:rFonts w:hint="eastAsia" w:asciiTheme="minorEastAsia" w:hAnsiTheme="minorEastAsia"/>
          <w:b w:val="0"/>
          <w:bCs w:val="0"/>
          <w:lang w:val="en-US"/>
        </w:rPr>
      </w:pPr>
      <w:r>
        <w:rPr>
          <w:rFonts w:hint="eastAsia" w:asciiTheme="minorEastAsia" w:hAnsiTheme="minorEastAsia"/>
          <w:b w:val="0"/>
          <w:bCs w:val="0"/>
        </w:rPr>
        <w:t>提供商用密码产品认证证书</w:t>
      </w:r>
    </w:p>
    <w:p w14:paraId="0CCBA817">
      <w:pPr>
        <w:spacing w:line="400" w:lineRule="exact"/>
        <w:rPr>
          <w:rFonts w:hint="eastAsia"/>
          <w:lang w:eastAsia="zh-CN"/>
        </w:rPr>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F75CB"/>
    <w:multiLevelType w:val="singleLevel"/>
    <w:tmpl w:val="09CF75C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7262F5"/>
    <w:rsid w:val="0AD256C9"/>
    <w:rsid w:val="0C1A1646"/>
    <w:rsid w:val="10B644F3"/>
    <w:rsid w:val="13853030"/>
    <w:rsid w:val="139E5399"/>
    <w:rsid w:val="19E5152C"/>
    <w:rsid w:val="26EB0611"/>
    <w:rsid w:val="290C3CAC"/>
    <w:rsid w:val="33A53B68"/>
    <w:rsid w:val="33B25DF4"/>
    <w:rsid w:val="3DF2491B"/>
    <w:rsid w:val="459259E0"/>
    <w:rsid w:val="48945475"/>
    <w:rsid w:val="4A373526"/>
    <w:rsid w:val="4B9F2FE9"/>
    <w:rsid w:val="4F582751"/>
    <w:rsid w:val="52FC7B22"/>
    <w:rsid w:val="57C52B4B"/>
    <w:rsid w:val="59962E08"/>
    <w:rsid w:val="5B14437B"/>
    <w:rsid w:val="64527E3A"/>
    <w:rsid w:val="6A2273E4"/>
    <w:rsid w:val="6A337A3A"/>
    <w:rsid w:val="6B5D01B3"/>
    <w:rsid w:val="74353B63"/>
    <w:rsid w:val="79EF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1224</Words>
  <Characters>1419</Characters>
  <Lines>30</Lines>
  <Paragraphs>8</Paragraphs>
  <TotalTime>6</TotalTime>
  <ScaleCrop>false</ScaleCrop>
  <LinksUpToDate>false</LinksUpToDate>
  <CharactersWithSpaces>1474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2025-07-08T11:25:00Z</cp:lastPrinted>
  <dcterms:modified xsi:type="dcterms:W3CDTF">2025-07-08T11:44:19Z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080BE1E88FF249BC9132BC5D606D027F_13</vt:lpwstr>
  </property>
  <property fmtid="{D5CDD505-2E9C-101B-9397-08002B2CF9AE}" pid="4" name="KSOTemplateDocerSaveRecord">
    <vt:lpwstr>eyJoZGlkIjoiZTkwYzI1NzY0ZWNmMWRkODczNGUxN2IxODQzYWJiNDAiLCJ1c2VySWQiOiI1MjA3NTkxNzUifQ==</vt:lpwstr>
  </property>
</Properties>
</file>