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val="en-US" w:eastAsia="zh-CN"/>
        </w:rPr>
        <w:t>更换短波理疗仪配件询价采购</w:t>
      </w:r>
      <w:r>
        <w:rPr>
          <w:rFonts w:hint="eastAsia"/>
          <w:b/>
          <w:sz w:val="32"/>
          <w:szCs w:val="32"/>
        </w:rPr>
        <w:t>单</w:t>
      </w:r>
    </w:p>
    <w:p w14:paraId="79871ED4">
      <w:pPr>
        <w:ind w:firstLine="700" w:firstLineChars="250"/>
        <w:rPr>
          <w:rFonts w:hint="eastAsia" w:ascii="宋体" w:hAnsi="宋体"/>
          <w:sz w:val="28"/>
          <w:szCs w:val="28"/>
        </w:rPr>
      </w:pPr>
      <w:r>
        <w:rPr>
          <w:rFonts w:hint="eastAsia" w:ascii="宋体" w:hAnsi="宋体"/>
          <w:sz w:val="28"/>
          <w:szCs w:val="28"/>
        </w:rPr>
        <w:t>公司名称（盖章）：</w:t>
      </w:r>
    </w:p>
    <w:tbl>
      <w:tblPr>
        <w:tblStyle w:val="29"/>
        <w:tblW w:w="12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144"/>
        <w:gridCol w:w="981"/>
        <w:gridCol w:w="923"/>
        <w:gridCol w:w="1439"/>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98" w:type="dxa"/>
            <w:vAlign w:val="center"/>
          </w:tcPr>
          <w:p w14:paraId="4EC91B77">
            <w:pPr>
              <w:jc w:val="center"/>
              <w:rPr>
                <w:rFonts w:ascii="宋体" w:hAnsi="宋体"/>
                <w:sz w:val="24"/>
              </w:rPr>
            </w:pPr>
            <w:r>
              <w:rPr>
                <w:rFonts w:hint="eastAsia" w:ascii="宋体" w:hAnsi="宋体"/>
                <w:sz w:val="24"/>
              </w:rPr>
              <w:t>序号</w:t>
            </w:r>
          </w:p>
        </w:tc>
        <w:tc>
          <w:tcPr>
            <w:tcW w:w="3144" w:type="dxa"/>
            <w:vAlign w:val="center"/>
          </w:tcPr>
          <w:p w14:paraId="7CF6A5C4">
            <w:pPr>
              <w:jc w:val="center"/>
              <w:rPr>
                <w:rFonts w:ascii="宋体" w:hAnsi="宋体"/>
                <w:sz w:val="24"/>
              </w:rPr>
            </w:pPr>
            <w:r>
              <w:rPr>
                <w:rFonts w:hint="eastAsia" w:ascii="宋体" w:hAnsi="宋体"/>
                <w:sz w:val="24"/>
              </w:rPr>
              <w:t>项目名称</w:t>
            </w:r>
          </w:p>
        </w:tc>
        <w:tc>
          <w:tcPr>
            <w:tcW w:w="981" w:type="dxa"/>
            <w:vAlign w:val="center"/>
          </w:tcPr>
          <w:p w14:paraId="48387FB2">
            <w:pPr>
              <w:jc w:val="center"/>
              <w:rPr>
                <w:rFonts w:ascii="宋体" w:hAnsi="宋体"/>
                <w:sz w:val="24"/>
              </w:rPr>
            </w:pPr>
            <w:r>
              <w:rPr>
                <w:rFonts w:hint="eastAsia" w:ascii="宋体" w:hAnsi="宋体"/>
                <w:sz w:val="24"/>
              </w:rPr>
              <w:t>单位</w:t>
            </w:r>
          </w:p>
        </w:tc>
        <w:tc>
          <w:tcPr>
            <w:tcW w:w="923" w:type="dxa"/>
            <w:vAlign w:val="center"/>
          </w:tcPr>
          <w:p w14:paraId="65921101">
            <w:pPr>
              <w:jc w:val="center"/>
              <w:rPr>
                <w:rFonts w:ascii="宋体" w:hAnsi="宋体"/>
                <w:sz w:val="24"/>
              </w:rPr>
            </w:pPr>
            <w:r>
              <w:rPr>
                <w:rFonts w:hint="eastAsia" w:ascii="宋体" w:hAnsi="宋体"/>
                <w:sz w:val="24"/>
              </w:rPr>
              <w:t>数量</w:t>
            </w:r>
          </w:p>
        </w:tc>
        <w:tc>
          <w:tcPr>
            <w:tcW w:w="1439" w:type="dxa"/>
            <w:vAlign w:val="center"/>
          </w:tcPr>
          <w:p w14:paraId="1CF14783">
            <w:pPr>
              <w:jc w:val="center"/>
              <w:rPr>
                <w:rFonts w:ascii="宋体" w:hAnsi="宋体"/>
                <w:sz w:val="24"/>
              </w:rPr>
            </w:pPr>
            <w:r>
              <w:rPr>
                <w:rFonts w:hint="eastAsia" w:ascii="宋体" w:hAnsi="宋体"/>
                <w:sz w:val="24"/>
                <w:lang w:val="en-US" w:eastAsia="zh-CN"/>
              </w:rPr>
              <w:t>报价</w:t>
            </w:r>
            <w:r>
              <w:rPr>
                <w:rFonts w:hint="eastAsia" w:ascii="宋体" w:hAnsi="宋体"/>
                <w:sz w:val="24"/>
              </w:rPr>
              <w:t>（元）</w:t>
            </w:r>
          </w:p>
        </w:tc>
        <w:tc>
          <w:tcPr>
            <w:tcW w:w="1418" w:type="dxa"/>
            <w:vAlign w:val="center"/>
          </w:tcPr>
          <w:p w14:paraId="41E2E430">
            <w:pPr>
              <w:jc w:val="center"/>
              <w:rPr>
                <w:rFonts w:ascii="宋体" w:hAnsi="宋体"/>
                <w:sz w:val="24"/>
              </w:rPr>
            </w:pPr>
            <w:r>
              <w:rPr>
                <w:rFonts w:hint="eastAsia" w:ascii="宋体" w:hAnsi="宋体"/>
                <w:sz w:val="24"/>
              </w:rPr>
              <w:t>控制</w:t>
            </w:r>
            <w:r>
              <w:rPr>
                <w:rFonts w:hint="eastAsia" w:ascii="宋体" w:hAnsi="宋体"/>
                <w:sz w:val="24"/>
                <w:lang w:eastAsia="zh-CN"/>
              </w:rPr>
              <w:t>价</w:t>
            </w:r>
            <w:r>
              <w:rPr>
                <w:rFonts w:hint="eastAsia" w:ascii="宋体" w:hAnsi="宋体"/>
                <w:sz w:val="24"/>
              </w:rPr>
              <w:t>（元）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98" w:type="dxa"/>
            <w:shd w:val="clear" w:color="auto" w:fill="auto"/>
            <w:vAlign w:val="center"/>
          </w:tcPr>
          <w:p w14:paraId="62686C52">
            <w:pPr>
              <w:jc w:val="center"/>
              <w:rPr>
                <w:rFonts w:ascii="宋体" w:hAnsi="宋体"/>
                <w:sz w:val="24"/>
              </w:rPr>
            </w:pPr>
            <w:bookmarkStart w:id="0" w:name="OLE_LINK6" w:colFirst="3" w:colLast="3"/>
            <w:bookmarkStart w:id="1" w:name="OLE_LINK7" w:colFirst="5" w:colLast="5"/>
            <w:bookmarkStart w:id="2" w:name="OLE_LINK3" w:colFirst="5" w:colLast="5"/>
            <w:bookmarkStart w:id="3" w:name="OLE_LINK11" w:colFirst="1" w:colLast="1"/>
            <w:bookmarkStart w:id="4" w:name="OLE_LINK5" w:colFirst="1" w:colLast="1"/>
            <w:r>
              <w:rPr>
                <w:rFonts w:hint="eastAsia" w:ascii="宋体" w:hAnsi="宋体"/>
                <w:sz w:val="24"/>
              </w:rPr>
              <w:t>1</w:t>
            </w:r>
          </w:p>
        </w:tc>
        <w:tc>
          <w:tcPr>
            <w:tcW w:w="3144" w:type="dxa"/>
            <w:shd w:val="clear" w:color="FFFF00" w:fill="auto"/>
            <w:vAlign w:val="center"/>
          </w:tcPr>
          <w:p w14:paraId="6869F9F0">
            <w:pPr>
              <w:jc w:val="center"/>
              <w:rPr>
                <w:rFonts w:hint="default" w:ascii="宋体" w:hAnsi="宋体" w:eastAsiaTheme="minorEastAsia"/>
                <w:sz w:val="24"/>
                <w:lang w:val="en-US" w:eastAsia="zh-CN"/>
              </w:rPr>
            </w:pPr>
            <w:r>
              <w:rPr>
                <w:rFonts w:hint="eastAsia" w:ascii="宋体" w:hAnsi="宋体"/>
                <w:sz w:val="24"/>
                <w:lang w:val="en-US" w:eastAsia="zh-CN"/>
              </w:rPr>
              <w:t>更换短波理疗仪配件</w:t>
            </w:r>
          </w:p>
        </w:tc>
        <w:tc>
          <w:tcPr>
            <w:tcW w:w="981" w:type="dxa"/>
            <w:shd w:val="clear" w:color="FFFF00" w:fill="auto"/>
            <w:vAlign w:val="center"/>
          </w:tcPr>
          <w:p w14:paraId="2CDDE14D">
            <w:pPr>
              <w:jc w:val="center"/>
              <w:rPr>
                <w:rFonts w:hint="eastAsia" w:ascii="宋体" w:hAnsi="宋体" w:eastAsiaTheme="minorEastAsia"/>
                <w:sz w:val="24"/>
                <w:lang w:val="en-US" w:eastAsia="zh-CN"/>
              </w:rPr>
            </w:pPr>
            <w:r>
              <w:rPr>
                <w:rFonts w:hint="eastAsia" w:ascii="宋体" w:hAnsi="宋体"/>
                <w:sz w:val="24"/>
                <w:lang w:val="en-US" w:eastAsia="zh-CN"/>
              </w:rPr>
              <w:t>项</w:t>
            </w:r>
          </w:p>
        </w:tc>
        <w:tc>
          <w:tcPr>
            <w:tcW w:w="923" w:type="dxa"/>
            <w:shd w:val="clear" w:color="FFFF00" w:fill="auto"/>
            <w:vAlign w:val="center"/>
          </w:tcPr>
          <w:p w14:paraId="660E9B8B">
            <w:pPr>
              <w:jc w:val="center"/>
              <w:rPr>
                <w:rFonts w:hint="default" w:ascii="宋体" w:hAnsi="宋体" w:eastAsiaTheme="minorEastAsia"/>
                <w:sz w:val="24"/>
                <w:lang w:val="en-US" w:eastAsia="zh-CN"/>
              </w:rPr>
            </w:pPr>
            <w:r>
              <w:rPr>
                <w:rFonts w:hint="eastAsia" w:ascii="宋体" w:hAnsi="宋体"/>
                <w:sz w:val="24"/>
                <w:lang w:val="en-US" w:eastAsia="zh-CN"/>
              </w:rPr>
              <w:t>1</w:t>
            </w:r>
          </w:p>
        </w:tc>
        <w:tc>
          <w:tcPr>
            <w:tcW w:w="1439" w:type="dxa"/>
            <w:shd w:val="clear" w:color="FFFF00" w:fill="auto"/>
          </w:tcPr>
          <w:p w14:paraId="6BFE4312">
            <w:pPr>
              <w:jc w:val="center"/>
              <w:rPr>
                <w:rFonts w:cs="宋体" w:asciiTheme="minorEastAsia" w:hAnsiTheme="minorEastAsia"/>
                <w:sz w:val="24"/>
              </w:rPr>
            </w:pP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14000</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询价报名时间为202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27</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拟参与询价公司要提供详细的报价方案。</w:t>
      </w:r>
    </w:p>
    <w:p w14:paraId="111CC312">
      <w:pPr>
        <w:spacing w:line="380" w:lineRule="exact"/>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0B945367">
      <w:pPr>
        <w:spacing w:line="380" w:lineRule="exact"/>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w:t>
      </w:r>
      <w:r>
        <w:rPr>
          <w:rFonts w:hint="eastAsia" w:ascii="宋体" w:hAnsi="宋体"/>
          <w:b/>
          <w:bCs/>
          <w:sz w:val="24"/>
          <w:u w:val="single"/>
          <w:lang w:eastAsia="zh-CN"/>
        </w:rPr>
        <w:t>有</w:t>
      </w:r>
      <w:r>
        <w:rPr>
          <w:rFonts w:hint="eastAsia" w:ascii="宋体" w:hAnsi="宋体"/>
          <w:b/>
          <w:bCs/>
          <w:sz w:val="24"/>
          <w:u w:val="single"/>
        </w:rPr>
        <w:t>效期内营业执照复印件（三证合一）</w:t>
      </w:r>
      <w:r>
        <w:rPr>
          <w:rFonts w:hint="eastAsia" w:ascii="宋体" w:hAnsi="宋体"/>
          <w:b/>
          <w:bCs/>
          <w:sz w:val="24"/>
          <w:u w:val="single"/>
          <w:lang w:eastAsia="zh-CN"/>
        </w:rPr>
        <w:t>；</w:t>
      </w:r>
      <w:r>
        <w:rPr>
          <w:rFonts w:hint="eastAsia" w:ascii="宋体" w:hAnsi="宋体"/>
          <w:b/>
          <w:bCs/>
          <w:sz w:val="24"/>
          <w:u w:val="single"/>
        </w:rPr>
        <w:t>以上材料均需加盖公章。</w:t>
      </w:r>
    </w:p>
    <w:p w14:paraId="107D44F4">
      <w:pPr>
        <w:spacing w:line="380" w:lineRule="exact"/>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2543" w:type="pct"/>
            <w:vAlign w:val="top"/>
          </w:tcPr>
          <w:p w14:paraId="047087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2C1219AF">
            <w:pPr>
              <w:jc w:val="both"/>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短波理疗仪（型号：</w:t>
            </w:r>
            <w:r>
              <w:rPr>
                <w:rFonts w:hint="eastAsia" w:ascii="宋体" w:hAnsi="宋体" w:eastAsia="宋体" w:cs="宋体"/>
                <w:i w:val="0"/>
                <w:iCs w:val="0"/>
                <w:color w:val="000000"/>
                <w:kern w:val="0"/>
                <w:sz w:val="22"/>
                <w:szCs w:val="22"/>
                <w:highlight w:val="none"/>
                <w:u w:val="none"/>
                <w:lang w:val="en-US" w:eastAsia="zh-CN" w:bidi="ar"/>
              </w:rPr>
              <w:t>KL-DB-2.6C</w:t>
            </w:r>
            <w:r>
              <w:rPr>
                <w:rFonts w:hint="eastAsia" w:ascii="宋体" w:hAnsi="宋体" w:eastAsia="宋体" w:cs="宋体"/>
                <w:b w:val="0"/>
                <w:bCs/>
                <w:color w:val="000000"/>
                <w:sz w:val="20"/>
                <w:szCs w:val="20"/>
                <w:lang w:val="en-US" w:eastAsia="zh-CN"/>
              </w:rPr>
              <w:t>）需更换如下配件：</w:t>
            </w:r>
          </w:p>
          <w:p w14:paraId="4D6CC06C">
            <w:pPr>
              <w:spacing w:line="360" w:lineRule="auto"/>
              <w:jc w:val="left"/>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制氧机</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sz w:val="20"/>
                <w:szCs w:val="20"/>
                <w:lang w:val="en-US" w:eastAsia="zh-CN"/>
              </w:rPr>
              <w:t>氧气浓度不低于90%（V/V）；</w:t>
            </w:r>
          </w:p>
          <w:p w14:paraId="58D9323E">
            <w:pPr>
              <w:jc w:val="both"/>
              <w:rPr>
                <w:rFonts w:hint="default"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软管：长1.75m，软管外直径13.5mm。</w:t>
            </w:r>
          </w:p>
          <w:p w14:paraId="68745FD8">
            <w:pPr>
              <w:jc w:val="both"/>
              <w:rPr>
                <w:rFonts w:hint="default" w:ascii="宋体" w:hAnsi="宋体" w:eastAsia="宋体" w:cs="宋体"/>
                <w:b w:val="0"/>
                <w:bCs/>
                <w:color w:val="000000"/>
                <w:sz w:val="20"/>
                <w:szCs w:val="20"/>
                <w:lang w:val="en-US" w:eastAsia="zh-CN"/>
              </w:rPr>
            </w:pP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7AE649EE">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1.供应商负责派厂家技术人员到现场免费进行安装调试，直至验收合格；</w:t>
            </w:r>
          </w:p>
          <w:p w14:paraId="7F5346A7">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2.供应商应在合同规定的安装调试期内完成该项工作。如因供应商责任而造成延期，所有因延期而产生的费用由供应商承担；</w:t>
            </w:r>
          </w:p>
          <w:p w14:paraId="152517C7">
            <w:pPr>
              <w:widowControl w:val="0"/>
              <w:tabs>
                <w:tab w:val="left" w:pos="5355"/>
              </w:tabs>
              <w:jc w:val="left"/>
              <w:rPr>
                <w:rFonts w:asciiTheme="minorEastAsia" w:hAnsiTheme="minorEastAsia"/>
                <w:sz w:val="20"/>
              </w:rPr>
            </w:pPr>
            <w:r>
              <w:rPr>
                <w:rFonts w:hint="eastAsia" w:ascii="宋体" w:hAnsi="宋体" w:eastAsia="宋体" w:cs="宋体"/>
                <w:sz w:val="20"/>
                <w:szCs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2543" w:type="pct"/>
            <w:vAlign w:val="center"/>
          </w:tcPr>
          <w:p w14:paraId="635704A7">
            <w:pPr>
              <w:widowControl w:val="0"/>
              <w:tabs>
                <w:tab w:val="left" w:pos="5355"/>
              </w:tabs>
              <w:jc w:val="left"/>
              <w:rPr>
                <w:rFonts w:hint="eastAsia" w:asciiTheme="minorEastAsia" w:hAnsiTheme="minorEastAsia"/>
                <w:b/>
                <w:sz w:val="20"/>
                <w:highlight w:val="none"/>
                <w:lang w:val="en-GB"/>
              </w:rPr>
            </w:pPr>
            <w:r>
              <w:rPr>
                <w:rFonts w:hint="eastAsia" w:asciiTheme="minorEastAsia" w:hAnsiTheme="minorEastAsia"/>
                <w:b/>
                <w:sz w:val="20"/>
                <w:highlight w:val="none"/>
                <w:lang w:val="en-GB"/>
              </w:rPr>
              <w:t xml:space="preserve">质量保证期及维修服务 </w:t>
            </w:r>
          </w:p>
          <w:p w14:paraId="42BD66B9">
            <w:pPr>
              <w:widowControl w:val="0"/>
              <w:tabs>
                <w:tab w:val="left" w:pos="5355"/>
              </w:tabs>
              <w:jc w:val="left"/>
              <w:rPr>
                <w:rFonts w:hint="eastAsia" w:asciiTheme="minorEastAsia" w:hAnsiTheme="minorEastAsia"/>
                <w:sz w:val="20"/>
                <w:highlight w:val="none"/>
                <w:lang w:val="en-GB"/>
              </w:rPr>
            </w:pPr>
            <w:r>
              <w:rPr>
                <w:rFonts w:hint="eastAsia" w:asciiTheme="minorEastAsia" w:hAnsiTheme="minorEastAsia"/>
                <w:sz w:val="20"/>
                <w:highlight w:val="none"/>
                <w:lang w:val="en-GB"/>
              </w:rPr>
              <w:t>1.报价人对此次询价采购的货物应按照询价文件的要求提供的</w:t>
            </w:r>
            <w:r>
              <w:rPr>
                <w:rFonts w:hint="eastAsia" w:asciiTheme="minorEastAsia" w:hAnsiTheme="minorEastAsia"/>
                <w:sz w:val="20"/>
                <w:highlight w:val="none"/>
                <w:lang w:val="en-GB" w:eastAsia="zh-CN"/>
              </w:rPr>
              <w:t>商品</w:t>
            </w:r>
            <w:r>
              <w:rPr>
                <w:rFonts w:hint="eastAsia" w:asciiTheme="minorEastAsia" w:hAnsiTheme="minorEastAsia"/>
                <w:sz w:val="20"/>
                <w:highlight w:val="none"/>
                <w:lang w:val="en-GB"/>
              </w:rPr>
              <w:t>必须是原厂生产的、全新的、未使用过的，并完全符合原厂质量检测标准和国家质量检测标准以及合同规定的质量规格和性能要求。产品质保期从最终验收合格之日起算，质保期≥</w:t>
            </w:r>
            <w:r>
              <w:rPr>
                <w:rFonts w:hint="eastAsia" w:asciiTheme="minorEastAsia" w:hAnsiTheme="minorEastAsia"/>
                <w:sz w:val="20"/>
                <w:highlight w:val="none"/>
                <w:lang w:val="en-US" w:eastAsia="zh-CN"/>
              </w:rPr>
              <w:t>6个月</w:t>
            </w:r>
            <w:r>
              <w:rPr>
                <w:rFonts w:hint="eastAsia" w:asciiTheme="minorEastAsia" w:hAnsiTheme="minorEastAsia"/>
                <w:sz w:val="20"/>
                <w:highlight w:val="none"/>
                <w:lang w:val="en-GB" w:eastAsia="zh-CN"/>
              </w:rPr>
              <w:t>，</w:t>
            </w:r>
            <w:r>
              <w:rPr>
                <w:rFonts w:hint="eastAsia" w:asciiTheme="minorEastAsia" w:hAnsiTheme="minorEastAsia"/>
                <w:sz w:val="20"/>
                <w:highlight w:val="none"/>
                <w:lang w:val="en-GB"/>
              </w:rPr>
              <w:t>终身维护服务。</w:t>
            </w:r>
          </w:p>
          <w:p w14:paraId="676195B3">
            <w:pPr>
              <w:widowControl w:val="0"/>
              <w:tabs>
                <w:tab w:val="left" w:pos="5355"/>
              </w:tabs>
              <w:jc w:val="left"/>
              <w:rPr>
                <w:rFonts w:asciiTheme="minorEastAsia" w:hAnsiTheme="minorEastAsia"/>
                <w:sz w:val="20"/>
                <w:highlight w:val="none"/>
                <w:lang w:val="en-GB"/>
              </w:rPr>
            </w:pPr>
            <w:r>
              <w:rPr>
                <w:rFonts w:hint="eastAsia" w:asciiTheme="minorEastAsia" w:hAnsiTheme="minorEastAsia"/>
                <w:sz w:val="20"/>
                <w:highlight w:val="none"/>
                <w:lang w:val="en-GB"/>
              </w:rPr>
              <w:t>2.本项目报价人应对此次询价采购的设备承诺自产品验收合格后设备运行中发生故障，所有产品必须保证</w:t>
            </w:r>
            <w:r>
              <w:rPr>
                <w:rFonts w:hint="eastAsia" w:asciiTheme="minorEastAsia" w:hAnsiTheme="minorEastAsia"/>
                <w:sz w:val="20"/>
                <w:highlight w:val="none"/>
                <w:lang w:val="en-GB" w:eastAsia="zh-CN"/>
              </w:rPr>
              <w:t>质保期内</w:t>
            </w:r>
            <w:r>
              <w:rPr>
                <w:rFonts w:hint="eastAsia" w:asciiTheme="minorEastAsia" w:hAnsiTheme="minorEastAsia"/>
                <w:sz w:val="20"/>
                <w:highlight w:val="none"/>
                <w:lang w:val="en-GB"/>
              </w:rPr>
              <w:t>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3BBB8B47">
            <w:pPr>
              <w:widowControl w:val="0"/>
              <w:tabs>
                <w:tab w:val="left" w:pos="5355"/>
              </w:tabs>
              <w:jc w:val="left"/>
              <w:rPr>
                <w:rFonts w:asciiTheme="minorEastAsia" w:hAnsiTheme="minorEastAsia"/>
                <w:sz w:val="20"/>
                <w:highlight w:val="none"/>
                <w:lang w:val="en-GB"/>
              </w:rPr>
            </w:pPr>
            <w:r>
              <w:rPr>
                <w:rFonts w:hint="eastAsia" w:asciiTheme="minorEastAsia" w:hAnsiTheme="minorEastAsia"/>
                <w:sz w:val="20"/>
                <w:highlight w:val="none"/>
                <w:lang w:val="en-GB"/>
              </w:rPr>
              <w:t>3. 免费质量保修期结束后，报价人提供终身免费咨询及有偿维修服务；货物一旦出现故障，应提供维修所需的零配件，并派出检修人员在24小时内到货物安装现场对设备进行维修，只收取更换的零配件成本费。</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asciiTheme="minorEastAsia" w:hAnsiTheme="minorEastAsia"/>
                <w:sz w:val="20"/>
              </w:rPr>
            </w:pPr>
            <w:r>
              <w:rPr>
                <w:rFonts w:hint="eastAsia" w:asciiTheme="minorEastAsia" w:hAnsiTheme="minorEastAsia"/>
                <w:sz w:val="20"/>
              </w:rPr>
              <w:t>4</w:t>
            </w:r>
          </w:p>
        </w:tc>
        <w:tc>
          <w:tcPr>
            <w:tcW w:w="2543" w:type="pct"/>
            <w:vAlign w:val="center"/>
          </w:tcPr>
          <w:p w14:paraId="7588357B">
            <w:pPr>
              <w:widowControl w:val="0"/>
              <w:tabs>
                <w:tab w:val="left" w:pos="5355"/>
              </w:tabs>
              <w:rPr>
                <w:rFonts w:asciiTheme="minorEastAsia" w:hAnsiTheme="minorEastAsia"/>
                <w:b/>
                <w:sz w:val="20"/>
                <w:highlight w:val="none"/>
                <w:lang w:val="en-GB"/>
              </w:rPr>
            </w:pPr>
            <w:r>
              <w:rPr>
                <w:rFonts w:hint="eastAsia" w:asciiTheme="minorEastAsia" w:hAnsiTheme="minorEastAsia"/>
                <w:b/>
                <w:sz w:val="20"/>
                <w:highlight w:val="none"/>
                <w:lang w:val="en-GB"/>
              </w:rPr>
              <w:t>验收标准和验收方法</w:t>
            </w:r>
          </w:p>
          <w:p w14:paraId="183AFCA1">
            <w:pPr>
              <w:widowControl w:val="0"/>
              <w:tabs>
                <w:tab w:val="left" w:pos="5355"/>
              </w:tabs>
              <w:rPr>
                <w:rFonts w:asciiTheme="minorEastAsia" w:hAnsiTheme="minorEastAsia"/>
                <w:sz w:val="20"/>
                <w:highlight w:val="none"/>
                <w:lang w:val="en-GB"/>
              </w:rPr>
            </w:pPr>
            <w:r>
              <w:rPr>
                <w:rFonts w:hint="eastAsia" w:asciiTheme="minorEastAsia" w:hAnsiTheme="minorEastAsia"/>
                <w:sz w:val="20"/>
                <w:highlight w:val="none"/>
                <w:lang w:val="en-GB"/>
              </w:rPr>
              <w:t>1.验收标准：设备按国家行业标准及询价文件“采购内容及要求”进行验收。产品质量达到设计要求安装调试各项指标符合技术参数；所产生费用由供应商负责。</w:t>
            </w:r>
          </w:p>
          <w:p w14:paraId="793F5C32">
            <w:pPr>
              <w:widowControl w:val="0"/>
              <w:tabs>
                <w:tab w:val="left" w:pos="5355"/>
              </w:tabs>
              <w:rPr>
                <w:rFonts w:asciiTheme="minorEastAsia" w:hAnsiTheme="minorEastAsia"/>
                <w:sz w:val="20"/>
                <w:highlight w:val="none"/>
                <w:lang w:val="en-GB"/>
              </w:rPr>
            </w:pPr>
            <w:r>
              <w:rPr>
                <w:rFonts w:hint="eastAsia" w:asciiTheme="minorEastAsia" w:hAnsiTheme="minorEastAsia"/>
                <w:sz w:val="20"/>
                <w:highlight w:val="none"/>
                <w:lang w:val="en-GB"/>
              </w:rPr>
              <w:t>2.验收程序：货物验收分为安装调试检验及最终验收两个阶段。</w:t>
            </w:r>
          </w:p>
          <w:p w14:paraId="5116A80A">
            <w:pPr>
              <w:widowControl w:val="0"/>
              <w:tabs>
                <w:tab w:val="left" w:pos="5355"/>
              </w:tabs>
              <w:rPr>
                <w:rFonts w:hint="eastAsia" w:asciiTheme="minorEastAsia" w:hAnsiTheme="minorEastAsia"/>
                <w:sz w:val="20"/>
                <w:highlight w:val="none"/>
                <w:lang w:val="en-GB"/>
              </w:rPr>
            </w:pPr>
            <w:r>
              <w:rPr>
                <w:rFonts w:hint="eastAsia" w:asciiTheme="minorEastAsia" w:hAnsiTheme="minorEastAsia"/>
                <w:sz w:val="20"/>
                <w:highlight w:val="none"/>
                <w:lang w:val="en-GB"/>
              </w:rPr>
              <w:t>a.系统安装调试检验：系统安装、调试过程，供应商应作详细检验记录。安装调试检验结果应符合制造厂产品标准和询价文件的规定。</w:t>
            </w:r>
          </w:p>
          <w:p w14:paraId="4FDD4966">
            <w:pPr>
              <w:widowControl w:val="0"/>
              <w:tabs>
                <w:tab w:val="left" w:pos="5355"/>
              </w:tabs>
              <w:rPr>
                <w:rFonts w:asciiTheme="minorEastAsia" w:hAnsiTheme="minorEastAsia"/>
                <w:sz w:val="20"/>
                <w:highlight w:val="none"/>
                <w:lang w:val="en-GB"/>
              </w:rPr>
            </w:pPr>
            <w:r>
              <w:rPr>
                <w:rFonts w:hint="eastAsia" w:asciiTheme="minorEastAsia" w:hAnsiTheme="minorEastAsia"/>
                <w:sz w:val="20"/>
                <w:highlight w:val="none"/>
                <w:lang w:val="en-GB"/>
              </w:rPr>
              <w:t>b.最终验收：⑴ 系统安装、调试结束后，要求进行联合验收（最终验收具体程序和要求以合同为准）。</w:t>
            </w:r>
          </w:p>
          <w:p w14:paraId="3BDAB954">
            <w:pPr>
              <w:widowControl w:val="0"/>
              <w:tabs>
                <w:tab w:val="left" w:pos="5355"/>
              </w:tabs>
              <w:rPr>
                <w:rFonts w:asciiTheme="minorEastAsia" w:hAnsiTheme="minorEastAsia"/>
                <w:sz w:val="20"/>
                <w:highlight w:val="none"/>
                <w:lang w:val="en-GB"/>
              </w:rPr>
            </w:pPr>
            <w:r>
              <w:rPr>
                <w:rFonts w:hint="eastAsia" w:asciiTheme="minorEastAsia" w:hAnsiTheme="minorEastAsia"/>
                <w:sz w:val="20"/>
                <w:highlight w:val="none"/>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asciiTheme="minorEastAsia" w:hAnsiTheme="minorEastAsia"/>
                <w:sz w:val="20"/>
              </w:rPr>
            </w:pPr>
            <w:r>
              <w:rPr>
                <w:rFonts w:hint="eastAsia" w:asciiTheme="minorEastAsia" w:hAnsiTheme="minorEastAsia"/>
                <w:sz w:val="20"/>
              </w:rPr>
              <w:t>5</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asciiTheme="minorEastAsia" w:hAnsiTheme="minorEastAsia"/>
                <w:sz w:val="20"/>
              </w:rPr>
            </w:pPr>
            <w:r>
              <w:rPr>
                <w:rFonts w:hint="eastAsia" w:asciiTheme="minorEastAsia" w:hAnsiTheme="minorEastAsia"/>
                <w:sz w:val="20"/>
              </w:rPr>
              <w:t>6</w:t>
            </w:r>
          </w:p>
        </w:tc>
        <w:tc>
          <w:tcPr>
            <w:tcW w:w="2543"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293138B8">
            <w:pPr>
              <w:widowControl w:val="0"/>
              <w:tabs>
                <w:tab w:val="left" w:pos="5355"/>
              </w:tabs>
              <w:rPr>
                <w:rFonts w:hint="eastAsia" w:asciiTheme="minorEastAsia" w:hAnsiTheme="minorEastAsia"/>
                <w:sz w:val="20"/>
                <w:lang w:val="en-GB"/>
              </w:rPr>
            </w:pPr>
            <w:r>
              <w:rPr>
                <w:rFonts w:hint="eastAsia" w:asciiTheme="minorEastAsia" w:hAnsiTheme="minorEastAsia"/>
                <w:sz w:val="20"/>
                <w:lang w:val="en-US" w:eastAsia="zh-CN"/>
              </w:rPr>
              <w:t>验收合格后1个月内，供应商开具</w:t>
            </w:r>
            <w:r>
              <w:rPr>
                <w:rFonts w:hint="eastAsia" w:asciiTheme="minorEastAsia" w:hAnsiTheme="minorEastAsia"/>
                <w:sz w:val="20"/>
                <w:lang w:val="en-GB"/>
              </w:rPr>
              <w:t>合同价款 100% 的含税发票，报</w:t>
            </w:r>
            <w:r>
              <w:rPr>
                <w:rFonts w:hint="eastAsia" w:asciiTheme="minorEastAsia" w:hAnsiTheme="minorEastAsia"/>
                <w:sz w:val="20"/>
                <w:lang w:val="en-GB" w:eastAsia="zh-CN"/>
              </w:rPr>
              <w:t>采购人</w:t>
            </w:r>
            <w:r>
              <w:rPr>
                <w:rFonts w:hint="eastAsia" w:asciiTheme="minorEastAsia" w:hAnsiTheme="minorEastAsia"/>
                <w:sz w:val="20"/>
                <w:lang w:val="en-GB"/>
              </w:rPr>
              <w:t>办理付款事宜，</w:t>
            </w:r>
            <w:r>
              <w:rPr>
                <w:rFonts w:hint="eastAsia" w:asciiTheme="minorEastAsia" w:hAnsiTheme="minorEastAsia"/>
                <w:sz w:val="20"/>
                <w:lang w:val="en-GB" w:eastAsia="zh-CN"/>
              </w:rPr>
              <w:t>供应商</w:t>
            </w:r>
            <w:r>
              <w:rPr>
                <w:rFonts w:hint="eastAsia" w:asciiTheme="minorEastAsia" w:hAnsiTheme="minorEastAsia"/>
                <w:sz w:val="20"/>
                <w:lang w:val="en-GB"/>
              </w:rPr>
              <w:t>以银行转帐方式支付合同价款的100%。</w:t>
            </w:r>
          </w:p>
          <w:p w14:paraId="27C8DAC1">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hint="eastAsia" w:ascii="宋体" w:hAnsi="宋体"/>
          <w:b/>
          <w:bCs/>
          <w:sz w:val="36"/>
          <w:szCs w:val="36"/>
        </w:rPr>
      </w:pPr>
      <w:r>
        <w:rPr>
          <w:rFonts w:hint="eastAsia" w:ascii="宋体" w:hAnsi="宋体"/>
          <w:b/>
          <w:bCs/>
          <w:sz w:val="36"/>
          <w:szCs w:val="36"/>
        </w:rPr>
        <w:t>采购内容及要求</w:t>
      </w:r>
    </w:p>
    <w:p w14:paraId="7BED7087">
      <w:pPr>
        <w:widowControl w:val="0"/>
        <w:adjustRightInd w:val="0"/>
        <w:spacing w:line="360" w:lineRule="auto"/>
        <w:outlineLvl w:val="0"/>
        <w:rPr>
          <w:rFonts w:hint="eastAsia" w:ascii="宋体" w:hAnsi="宋体"/>
          <w:sz w:val="24"/>
        </w:rPr>
      </w:pPr>
      <w:r>
        <w:rPr>
          <w:rFonts w:hint="eastAsia" w:ascii="宋体" w:hAnsi="Courier New" w:eastAsia="宋体" w:cs="Times New Roman"/>
          <w:b/>
          <w:sz w:val="24"/>
          <w:szCs w:val="24"/>
        </w:rPr>
        <w:t>项目概况</w:t>
      </w:r>
    </w:p>
    <w:p w14:paraId="06EF625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项目名称：更换短波理疗仪配件</w:t>
      </w:r>
    </w:p>
    <w:p w14:paraId="44E5676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预算金额：14000元（最高限价，超过视为无效报价）</w:t>
      </w:r>
    </w:p>
    <w:p w14:paraId="250BDD86">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采购内容：对短波理疗仪（型号KL-DB-2.6C）进行维修服务。</w:t>
      </w:r>
    </w:p>
    <w:p w14:paraId="0D7F514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故障描述：制氧机供氧量严重不足，治疗头软管老化脱胶断裂。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495DBCEB">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短波理疗仪（型号：KL-DB-2.6C）需更换如下配件：</w:t>
      </w:r>
    </w:p>
    <w:p w14:paraId="4B542F4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制氧机：氧气浓度不低于90%（V/V）；</w:t>
      </w:r>
    </w:p>
    <w:p w14:paraId="552521E8">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软管：长1.7m，软管外直径13.5mm。</w:t>
      </w:r>
    </w:p>
    <w:p w14:paraId="3F8DF8B2">
      <w:p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二、安装和调试</w:t>
      </w:r>
    </w:p>
    <w:p w14:paraId="35D1299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1.供应商负责派厂家技术人员到现场免费进行安装调试，直至验收合格；</w:t>
      </w:r>
    </w:p>
    <w:p w14:paraId="3F5D1DF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2.供应商应在合同规定的安装调试期内完成该项工作。如因供应商责任而造成延期，所有因延期而产生的费用由供应商承担；</w:t>
      </w:r>
    </w:p>
    <w:p w14:paraId="79AA89C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3.结合安装调试，供应商专业技术人员应对采购方的技术人员进行使用操作、维修、保养等技术的现场培训，直至采购方的技术人员能熟练独立工作。供应商委派的专业技术人员所需费用均由供应商承担。</w:t>
      </w:r>
    </w:p>
    <w:p w14:paraId="1F22F332">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486CEEAF">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1.报价人对此次询价采购的货物应按照询价文件的要求提供的</w:t>
      </w:r>
      <w:r>
        <w:rPr>
          <w:rFonts w:hint="eastAsia" w:ascii="宋体" w:hAnsi="宋体" w:eastAsia="宋体" w:cs="Times New Roman"/>
          <w:sz w:val="24"/>
          <w:szCs w:val="24"/>
          <w:lang w:val="en-GB" w:eastAsia="zh-CN"/>
        </w:rPr>
        <w:t>商品</w:t>
      </w:r>
      <w:r>
        <w:rPr>
          <w:rFonts w:hint="eastAsia" w:ascii="宋体" w:hAnsi="宋体" w:eastAsia="宋体" w:cs="Times New Roman"/>
          <w:sz w:val="24"/>
          <w:szCs w:val="24"/>
          <w:lang w:val="en-GB"/>
        </w:rPr>
        <w:t>必须是原厂生产的、全新的</w:t>
      </w:r>
      <w:r>
        <w:rPr>
          <w:rFonts w:hint="eastAsia" w:ascii="宋体" w:hAnsi="宋体" w:eastAsia="宋体" w:cs="Times New Roman"/>
          <w:sz w:val="24"/>
          <w:szCs w:val="24"/>
          <w:lang w:val="en-GB" w:eastAsia="zh-CN"/>
        </w:rPr>
        <w:t>、</w:t>
      </w:r>
      <w:bookmarkStart w:id="5" w:name="_GoBack"/>
      <w:bookmarkEnd w:id="5"/>
      <w:r>
        <w:rPr>
          <w:rFonts w:hint="eastAsia" w:ascii="宋体" w:hAnsi="宋体" w:eastAsia="宋体" w:cs="Times New Roman"/>
          <w:sz w:val="24"/>
          <w:szCs w:val="24"/>
          <w:lang w:val="en-GB"/>
        </w:rPr>
        <w:t>未使用过的，并完全符合原厂质量检测标准和国家质量检测标准以及合同规定的质量规格和性能要求。产品质保期从最终验收合格之日起算，质保期≥</w:t>
      </w:r>
      <w:r>
        <w:rPr>
          <w:rFonts w:hint="eastAsia" w:ascii="宋体" w:hAnsi="宋体" w:eastAsia="宋体" w:cs="Times New Roman"/>
          <w:sz w:val="24"/>
          <w:szCs w:val="24"/>
          <w:lang w:val="en-US" w:eastAsia="zh-CN"/>
        </w:rPr>
        <w:t>6个月</w:t>
      </w:r>
      <w:r>
        <w:rPr>
          <w:rFonts w:hint="eastAsia" w:ascii="宋体" w:hAnsi="宋体" w:eastAsia="宋体" w:cs="Times New Roman"/>
          <w:sz w:val="24"/>
          <w:szCs w:val="24"/>
          <w:lang w:val="en-GB" w:eastAsia="zh-CN"/>
        </w:rPr>
        <w:t>，</w:t>
      </w:r>
      <w:r>
        <w:rPr>
          <w:rFonts w:hint="eastAsia" w:ascii="宋体" w:hAnsi="宋体" w:eastAsia="宋体" w:cs="Times New Roman"/>
          <w:sz w:val="24"/>
          <w:szCs w:val="24"/>
          <w:lang w:val="en-GB"/>
        </w:rPr>
        <w:t>终身维护服务。</w:t>
      </w:r>
    </w:p>
    <w:p w14:paraId="3704737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2.本项目报价人应对此次询价采购的设备承诺自产品验收合格后设备运行中发生故障，所有产品必须保证</w:t>
      </w:r>
      <w:r>
        <w:rPr>
          <w:rFonts w:hint="eastAsia" w:ascii="宋体" w:hAnsi="宋体" w:eastAsia="宋体" w:cs="Times New Roman"/>
          <w:sz w:val="24"/>
          <w:szCs w:val="24"/>
          <w:lang w:val="en-GB" w:eastAsia="zh-CN"/>
        </w:rPr>
        <w:t>质保期内</w:t>
      </w:r>
      <w:r>
        <w:rPr>
          <w:rFonts w:hint="eastAsia" w:ascii="宋体" w:hAnsi="宋体" w:eastAsia="宋体" w:cs="Times New Roman"/>
          <w:sz w:val="24"/>
          <w:szCs w:val="24"/>
          <w:lang w:val="en-GB"/>
        </w:rPr>
        <w:t>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04CC756E">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3. 免费质量保修期结束后，报价人提供终身免费咨询及有偿维修服务；货物一旦出现故障，应提供维修所需的零配件，并派出检修人员在24小时内到货物安装现场对设备进行维修，只收取更换的零配件成本费。</w:t>
      </w: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0268258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1.验收标准：设备按国家行业标准及询价文件“采购内容及要求”进行验收。产品质量达到设计要求安装调试各项指标符合技术参数；所产生费用由供应商负责。</w:t>
      </w:r>
    </w:p>
    <w:p w14:paraId="7A459F1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1292CB4C">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w:t>
      </w:r>
    </w:p>
    <w:p w14:paraId="44D289F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w:t>
      </w:r>
    </w:p>
    <w:p w14:paraId="51574D9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47ABA13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1EC766F">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验收合格后1个月内，供应商开具</w:t>
      </w:r>
      <w:r>
        <w:rPr>
          <w:rFonts w:hint="eastAsia" w:ascii="宋体" w:hAnsi="宋体" w:eastAsia="宋体" w:cs="Times New Roman"/>
          <w:sz w:val="24"/>
          <w:szCs w:val="24"/>
          <w:lang w:val="en-GB"/>
        </w:rPr>
        <w:t>合同价款 100% 的含税发票，报</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办理付款事宜，</w:t>
      </w:r>
      <w:r>
        <w:rPr>
          <w:rFonts w:hint="eastAsia" w:ascii="宋体" w:hAnsi="宋体" w:eastAsia="宋体" w:cs="Times New Roman"/>
          <w:sz w:val="24"/>
          <w:szCs w:val="24"/>
          <w:lang w:val="en-GB" w:eastAsia="zh-CN"/>
        </w:rPr>
        <w:t>供应商</w:t>
      </w:r>
      <w:r>
        <w:rPr>
          <w:rFonts w:hint="eastAsia" w:ascii="宋体" w:hAnsi="宋体" w:eastAsia="宋体" w:cs="Times New Roman"/>
          <w:sz w:val="24"/>
          <w:szCs w:val="24"/>
          <w:lang w:val="en-GB"/>
        </w:rPr>
        <w:t>以银行转帐方式支付合同价款的100%。</w:t>
      </w:r>
    </w:p>
    <w:p w14:paraId="64C1BE9C">
      <w:pPr>
        <w:spacing w:line="400" w:lineRule="exact"/>
        <w:rPr>
          <w:rFonts w:ascii="宋体" w:hAnsi="宋体"/>
          <w:sz w:val="24"/>
        </w:rPr>
      </w:pPr>
    </w:p>
    <w:p w14:paraId="02AB5D77">
      <w:pPr>
        <w:spacing w:line="400" w:lineRule="exact"/>
        <w:rPr>
          <w:rFonts w:ascii="宋体" w:hAnsi="宋体"/>
          <w:sz w:val="24"/>
        </w:rPr>
      </w:pPr>
    </w:p>
    <w:p w14:paraId="358095E4">
      <w:pPr>
        <w:spacing w:line="400" w:lineRule="exact"/>
        <w:rPr>
          <w:rFonts w:ascii="宋体" w:hAnsi="宋体"/>
          <w:sz w:val="24"/>
        </w:rPr>
      </w:pPr>
    </w:p>
    <w:p w14:paraId="4146F348">
      <w:pPr>
        <w:spacing w:line="400" w:lineRule="exact"/>
        <w:rPr>
          <w:rFonts w:ascii="宋体" w:hAnsi="宋体"/>
          <w:sz w:val="24"/>
        </w:rPr>
      </w:pPr>
    </w:p>
    <w:p w14:paraId="1AA1C3E3">
      <w:pPr>
        <w:spacing w:line="400" w:lineRule="exact"/>
        <w:rPr>
          <w:rFonts w:ascii="宋体" w:hAnsi="宋体"/>
          <w:sz w:val="24"/>
        </w:rPr>
      </w:pPr>
    </w:p>
    <w:p w14:paraId="6CE39C24">
      <w:pPr>
        <w:spacing w:line="400" w:lineRule="exact"/>
        <w:rPr>
          <w:rFonts w:ascii="宋体" w:hAnsi="宋体"/>
          <w:sz w:val="24"/>
        </w:rPr>
      </w:pPr>
    </w:p>
    <w:p w14:paraId="33B6E4CA">
      <w:pPr>
        <w:spacing w:line="400" w:lineRule="exact"/>
        <w:rPr>
          <w:rFonts w:ascii="宋体" w:hAnsi="宋体"/>
          <w:sz w:val="24"/>
        </w:rPr>
      </w:pPr>
    </w:p>
    <w:p w14:paraId="71F05CA2">
      <w:pPr>
        <w:spacing w:line="400" w:lineRule="exact"/>
        <w:rPr>
          <w:rFonts w:ascii="宋体" w:hAnsi="宋体"/>
          <w:sz w:val="24"/>
        </w:rPr>
      </w:pPr>
    </w:p>
    <w:p w14:paraId="3C8F8D0C">
      <w:pPr>
        <w:spacing w:line="400" w:lineRule="exact"/>
        <w:rPr>
          <w:rFonts w:ascii="宋体" w:hAnsi="宋体"/>
          <w:sz w:val="24"/>
        </w:rPr>
      </w:pPr>
    </w:p>
    <w:p w14:paraId="6D37CEEC">
      <w:pPr>
        <w:spacing w:line="400" w:lineRule="exact"/>
        <w:rPr>
          <w:rFonts w:ascii="宋体" w:hAnsi="宋体"/>
          <w:sz w:val="24"/>
        </w:rPr>
      </w:pPr>
    </w:p>
    <w:p w14:paraId="5AB403B2">
      <w:pPr>
        <w:spacing w:line="400" w:lineRule="exact"/>
        <w:rPr>
          <w:rFonts w:ascii="宋体" w:hAnsi="宋体"/>
          <w:sz w:val="24"/>
        </w:rPr>
      </w:pPr>
    </w:p>
    <w:p w14:paraId="59DC6B94">
      <w:pPr>
        <w:spacing w:line="400" w:lineRule="exact"/>
        <w:rPr>
          <w:rFonts w:ascii="宋体" w:hAnsi="宋体"/>
          <w:sz w:val="24"/>
        </w:rPr>
      </w:pPr>
    </w:p>
    <w:p w14:paraId="499632BE">
      <w:pPr>
        <w:spacing w:line="400" w:lineRule="exact"/>
        <w:rPr>
          <w:rFonts w:ascii="宋体" w:hAnsi="宋体"/>
          <w:sz w:val="24"/>
        </w:rPr>
      </w:pPr>
    </w:p>
    <w:p w14:paraId="6F81B597">
      <w:pPr>
        <w:spacing w:line="400" w:lineRule="exact"/>
        <w:rPr>
          <w:rFonts w:ascii="宋体" w:hAnsi="宋体"/>
          <w:sz w:val="24"/>
        </w:rPr>
      </w:pPr>
    </w:p>
    <w:p w14:paraId="4C153A1B">
      <w:pPr>
        <w:spacing w:line="400" w:lineRule="exact"/>
        <w:rPr>
          <w:rFonts w:ascii="宋体" w:hAnsi="宋体"/>
          <w:sz w:val="24"/>
        </w:rPr>
      </w:pPr>
    </w:p>
    <w:p w14:paraId="626527DB">
      <w:pPr>
        <w:spacing w:line="400" w:lineRule="exact"/>
        <w:rPr>
          <w:rFonts w:ascii="宋体" w:hAnsi="宋体"/>
          <w:sz w:val="24"/>
        </w:rPr>
      </w:pPr>
    </w:p>
    <w:p w14:paraId="79F07135">
      <w:pPr>
        <w:spacing w:line="400" w:lineRule="exact"/>
        <w:rPr>
          <w:rFonts w:ascii="宋体" w:hAnsi="宋体"/>
          <w:sz w:val="24"/>
        </w:rPr>
      </w:pPr>
    </w:p>
    <w:p w14:paraId="01A13E22">
      <w:pPr>
        <w:spacing w:line="400" w:lineRule="exact"/>
        <w:rPr>
          <w:rFonts w:ascii="宋体" w:hAnsi="宋体"/>
          <w:sz w:val="24"/>
        </w:rPr>
      </w:pPr>
    </w:p>
    <w:p w14:paraId="6D145469">
      <w:pPr>
        <w:spacing w:line="400" w:lineRule="exact"/>
        <w:rPr>
          <w:rFonts w:ascii="宋体" w:hAnsi="宋体"/>
          <w:sz w:val="24"/>
        </w:rPr>
      </w:pPr>
    </w:p>
    <w:p w14:paraId="2B049A65">
      <w:pPr>
        <w:spacing w:line="400" w:lineRule="exact"/>
        <w:rPr>
          <w:rFonts w:ascii="宋体" w:hAnsi="宋体"/>
          <w:sz w:val="24"/>
        </w:rPr>
      </w:pPr>
    </w:p>
    <w:p w14:paraId="0E30BB13">
      <w:pPr>
        <w:spacing w:line="400" w:lineRule="exact"/>
        <w:rPr>
          <w:rFonts w:ascii="宋体" w:hAnsi="宋体"/>
          <w:sz w:val="24"/>
        </w:rPr>
      </w:pPr>
    </w:p>
    <w:p w14:paraId="7E03571C">
      <w:pPr>
        <w:spacing w:line="400" w:lineRule="exact"/>
        <w:rPr>
          <w:rFonts w:ascii="宋体" w:hAnsi="宋体"/>
          <w:sz w:val="24"/>
        </w:rPr>
      </w:pPr>
    </w:p>
    <w:p w14:paraId="4E0E4D02">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2C8F575E">
      <w:pPr>
        <w:spacing w:line="400" w:lineRule="exact"/>
      </w:pPr>
    </w:p>
    <w:p w14:paraId="3F03C3C1">
      <w:pPr>
        <w:spacing w:line="400" w:lineRule="exact"/>
      </w:pPr>
    </w:p>
    <w:p w14:paraId="7B60A773">
      <w:pPr>
        <w:spacing w:line="400" w:lineRule="exact"/>
      </w:pPr>
    </w:p>
    <w:p w14:paraId="4FEC1D25">
      <w:pPr>
        <w:spacing w:line="400" w:lineRule="exact"/>
      </w:pPr>
    </w:p>
    <w:p w14:paraId="48001B4F">
      <w:pPr>
        <w:spacing w:line="400" w:lineRule="exact"/>
      </w:pPr>
    </w:p>
    <w:p w14:paraId="7BFCAAFA">
      <w:pPr>
        <w:spacing w:line="400" w:lineRule="exact"/>
      </w:pPr>
    </w:p>
    <w:p w14:paraId="4CF7B75E">
      <w:pPr>
        <w:spacing w:line="400" w:lineRule="exact"/>
      </w:pPr>
    </w:p>
    <w:p w14:paraId="2534C3B4">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val="en-US" w:eastAsia="zh-CN"/>
        </w:rPr>
        <w:t>更换短波理疗仪配件</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839AACE">
      <w:pPr>
        <w:widowControl w:val="0"/>
        <w:autoSpaceDE w:val="0"/>
        <w:autoSpaceDN w:val="0"/>
        <w:adjustRightInd w:val="0"/>
        <w:spacing w:line="380" w:lineRule="exact"/>
      </w:pPr>
      <w:r>
        <w:rPr>
          <w:rFonts w:hint="eastAsia" w:ascii="宋体" w:hAnsi="宋体"/>
          <w:b/>
          <w:sz w:val="24"/>
          <w:szCs w:val="20"/>
        </w:rPr>
        <w:t>注意：若为法定代表人直接参加投标可不需此件（投标人制作投标文件时应删去此段话）</w:t>
      </w: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7262F5"/>
    <w:rsid w:val="03B5606B"/>
    <w:rsid w:val="0C1A1646"/>
    <w:rsid w:val="13651318"/>
    <w:rsid w:val="19E5152C"/>
    <w:rsid w:val="1EB91F5D"/>
    <w:rsid w:val="1EE739AF"/>
    <w:rsid w:val="25614D0A"/>
    <w:rsid w:val="28E22630"/>
    <w:rsid w:val="290C3CAC"/>
    <w:rsid w:val="2E9A5E28"/>
    <w:rsid w:val="30343A1D"/>
    <w:rsid w:val="33B25DF4"/>
    <w:rsid w:val="340C30CD"/>
    <w:rsid w:val="381666E0"/>
    <w:rsid w:val="397E3337"/>
    <w:rsid w:val="3DB52969"/>
    <w:rsid w:val="3DF2491B"/>
    <w:rsid w:val="4104457C"/>
    <w:rsid w:val="459259E0"/>
    <w:rsid w:val="4B9F2FE9"/>
    <w:rsid w:val="4F582751"/>
    <w:rsid w:val="52E2243E"/>
    <w:rsid w:val="52FC7B22"/>
    <w:rsid w:val="57C52B4B"/>
    <w:rsid w:val="628C55CE"/>
    <w:rsid w:val="6A1A5620"/>
    <w:rsid w:val="6A337A3A"/>
    <w:rsid w:val="6B5D01B3"/>
    <w:rsid w:val="74353B63"/>
    <w:rsid w:val="74C701A5"/>
    <w:rsid w:val="787573C2"/>
    <w:rsid w:val="79EF0FC6"/>
    <w:rsid w:val="7FAD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3106</Words>
  <Characters>3243</Characters>
  <Lines>30</Lines>
  <Paragraphs>8</Paragraphs>
  <TotalTime>87</TotalTime>
  <ScaleCrop>false</ScaleCrop>
  <LinksUpToDate>false</LinksUpToDate>
  <CharactersWithSpaces>3789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2025-06-27T12:01:20Z</cp:lastPrinted>
  <dcterms:modified xsi:type="dcterms:W3CDTF">2025-06-27T12:04:10Z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59EEB2428ACD4040B8875A6AC4ECADE7_13</vt:lpwstr>
  </property>
  <property fmtid="{D5CDD505-2E9C-101B-9397-08002B2CF9AE}" pid="4" name="KSOTemplateDocerSaveRecord">
    <vt:lpwstr>eyJoZGlkIjoiZTkwYzI1NzY0ZWNmMWRkODczNGUxN2IxODQzYWJiNDAiLCJ1c2VySWQiOiI1MjA3NTkxNzUifQ==</vt:lpwstr>
  </property>
</Properties>
</file>